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62881" w14:textId="77E17230" w:rsidR="00636AB1" w:rsidRPr="001053E5" w:rsidRDefault="0032486A" w:rsidP="002C7779">
      <w:pPr>
        <w:spacing w:after="0"/>
        <w:rPr>
          <w:rFonts w:ascii="Times New Roman" w:hAnsi="Times New Roman" w:cs="Times New Roman"/>
          <w:sz w:val="22"/>
        </w:rPr>
      </w:pPr>
      <w:r w:rsidRPr="001053E5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1053E5">
        <w:rPr>
          <w:rFonts w:ascii="Times New Roman" w:hAnsi="Times New Roman" w:cs="Times New Roman"/>
          <w:b/>
          <w:bCs/>
          <w:sz w:val="22"/>
        </w:rPr>
        <w:t xml:space="preserve"> </w:t>
      </w:r>
      <w:r w:rsidRPr="001053E5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8</w:t>
      </w:r>
      <w:r w:rsidRPr="001053E5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. </w:t>
      </w:r>
      <w:r w:rsidR="00636AB1" w:rsidRPr="001053E5">
        <w:rPr>
          <w:rFonts w:ascii="Times New Roman" w:hAnsi="Times New Roman" w:cs="Times New Roman"/>
          <w:sz w:val="22"/>
        </w:rPr>
        <w:t xml:space="preserve">Joanna Briggs Institute Critical Appraisal </w:t>
      </w:r>
      <w:r w:rsidR="00364470" w:rsidRPr="001053E5">
        <w:rPr>
          <w:rFonts w:ascii="Times New Roman" w:hAnsi="Times New Roman" w:cs="Times New Roman"/>
          <w:sz w:val="22"/>
        </w:rPr>
        <w:t>Checklist</w:t>
      </w:r>
      <w:r w:rsidR="00C676E8" w:rsidRPr="001053E5">
        <w:rPr>
          <w:rFonts w:ascii="Times New Roman" w:hAnsi="Times New Roman" w:cs="Times New Roman"/>
          <w:sz w:val="22"/>
        </w:rPr>
        <w:t xml:space="preserve"> </w:t>
      </w:r>
      <w:r w:rsidR="00636AB1" w:rsidRPr="001053E5">
        <w:rPr>
          <w:rFonts w:ascii="Times New Roman" w:hAnsi="Times New Roman" w:cs="Times New Roman"/>
          <w:sz w:val="22"/>
        </w:rPr>
        <w:t xml:space="preserve">for </w:t>
      </w:r>
      <w:r w:rsidR="00364470" w:rsidRPr="001053E5">
        <w:rPr>
          <w:rFonts w:ascii="Times New Roman" w:hAnsi="Times New Roman" w:cs="Times New Roman"/>
          <w:sz w:val="22"/>
        </w:rPr>
        <w:t>C</w:t>
      </w:r>
      <w:r w:rsidR="00254C3E" w:rsidRPr="001053E5">
        <w:rPr>
          <w:rFonts w:ascii="Times New Roman" w:hAnsi="Times New Roman" w:cs="Times New Roman"/>
          <w:sz w:val="22"/>
        </w:rPr>
        <w:t xml:space="preserve">ohort </w:t>
      </w:r>
      <w:r w:rsidR="00364470" w:rsidRPr="001053E5">
        <w:rPr>
          <w:rFonts w:ascii="Times New Roman" w:hAnsi="Times New Roman" w:cs="Times New Roman"/>
          <w:sz w:val="22"/>
        </w:rPr>
        <w:t>S</w:t>
      </w:r>
      <w:r w:rsidR="00254C3E" w:rsidRPr="001053E5">
        <w:rPr>
          <w:rFonts w:ascii="Times New Roman" w:hAnsi="Times New Roman" w:cs="Times New Roman"/>
          <w:sz w:val="22"/>
        </w:rPr>
        <w:t>tudies</w:t>
      </w:r>
      <w:r w:rsidR="00934256" w:rsidRPr="001053E5">
        <w:rPr>
          <w:rFonts w:ascii="Times New Roman" w:hAnsi="Times New Roman" w:cs="Times New Roman"/>
          <w:sz w:val="22"/>
        </w:rPr>
        <w:t xml:space="preserve"> [10]</w:t>
      </w:r>
    </w:p>
    <w:tbl>
      <w:tblPr>
        <w:tblStyle w:val="a3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1996"/>
      </w:tblGrid>
      <w:tr w:rsidR="001011A1" w:rsidRPr="00EC419F" w14:paraId="6AC936C2" w14:textId="77777777" w:rsidTr="0027513E"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1E087C37" w14:textId="3C30F638" w:rsidR="001011A1" w:rsidRPr="00EC419F" w:rsidRDefault="001011A1" w:rsidP="001011A1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JBI Checklist no</w:t>
            </w:r>
            <w:r w:rsidR="00D65264" w:rsidRPr="00EC419F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</w:tc>
        <w:tc>
          <w:tcPr>
            <w:tcW w:w="11996" w:type="dxa"/>
            <w:tcBorders>
              <w:top w:val="single" w:sz="4" w:space="0" w:color="auto"/>
              <w:bottom w:val="single" w:sz="4" w:space="0" w:color="auto"/>
            </w:tcBorders>
          </w:tcPr>
          <w:p w14:paraId="469204A6" w14:textId="67272CA4" w:rsidR="001011A1" w:rsidRPr="00EC419F" w:rsidRDefault="001011A1" w:rsidP="001011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3033A" w:rsidRPr="00EC419F" w14:paraId="57F1F183" w14:textId="77777777" w:rsidTr="0027513E">
        <w:tc>
          <w:tcPr>
            <w:tcW w:w="1869" w:type="dxa"/>
            <w:tcBorders>
              <w:top w:val="single" w:sz="4" w:space="0" w:color="auto"/>
            </w:tcBorders>
          </w:tcPr>
          <w:p w14:paraId="4446A43E" w14:textId="7B2B63E3" w:rsidR="0053033A" w:rsidRPr="00EC419F" w:rsidRDefault="00E61C94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53033A" w:rsidRPr="00EC419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996" w:type="dxa"/>
            <w:tcBorders>
              <w:top w:val="single" w:sz="4" w:space="0" w:color="auto"/>
            </w:tcBorders>
          </w:tcPr>
          <w:p w14:paraId="6517AA6D" w14:textId="199D0486" w:rsidR="0053033A" w:rsidRPr="00EC419F" w:rsidRDefault="000B3732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the two groups similar and recruited from the same population?</w:t>
            </w:r>
          </w:p>
        </w:tc>
      </w:tr>
      <w:tr w:rsidR="0053033A" w:rsidRPr="00EC419F" w14:paraId="5522C324" w14:textId="77777777" w:rsidTr="0027513E">
        <w:tc>
          <w:tcPr>
            <w:tcW w:w="1869" w:type="dxa"/>
          </w:tcPr>
          <w:p w14:paraId="77CB073A" w14:textId="4AA3FB38" w:rsidR="0053033A" w:rsidRPr="00EC419F" w:rsidRDefault="00E61C94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53033A" w:rsidRPr="00EC419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996" w:type="dxa"/>
          </w:tcPr>
          <w:p w14:paraId="42E137B4" w14:textId="64D1D857" w:rsidR="0053033A" w:rsidRPr="00EC419F" w:rsidRDefault="000B3732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the exposures measured similarly to assign people to both exposed and unexposed groups?</w:t>
            </w:r>
          </w:p>
        </w:tc>
      </w:tr>
      <w:tr w:rsidR="0053033A" w:rsidRPr="00EC419F" w14:paraId="077BFCBF" w14:textId="77777777" w:rsidTr="0027513E">
        <w:tc>
          <w:tcPr>
            <w:tcW w:w="1869" w:type="dxa"/>
          </w:tcPr>
          <w:p w14:paraId="31A5123F" w14:textId="0FE961A6" w:rsidR="0053033A" w:rsidRPr="00EC419F" w:rsidRDefault="00E61C94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53033A" w:rsidRPr="00EC419F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996" w:type="dxa"/>
          </w:tcPr>
          <w:p w14:paraId="24B9D062" w14:textId="0B14B693" w:rsidR="0053033A" w:rsidRPr="00EC419F" w:rsidRDefault="000B3732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Was the exposure measured in a valid and reliable way?</w:t>
            </w:r>
          </w:p>
        </w:tc>
      </w:tr>
      <w:tr w:rsidR="0053033A" w:rsidRPr="00EC419F" w14:paraId="44710526" w14:textId="77777777" w:rsidTr="0027513E">
        <w:tc>
          <w:tcPr>
            <w:tcW w:w="1869" w:type="dxa"/>
          </w:tcPr>
          <w:p w14:paraId="3A9BE741" w14:textId="0753C9AB" w:rsidR="0053033A" w:rsidRPr="00EC419F" w:rsidRDefault="00E61C94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53033A" w:rsidRPr="00EC419F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996" w:type="dxa"/>
          </w:tcPr>
          <w:p w14:paraId="0A03877A" w14:textId="1A5B055C" w:rsidR="0053033A" w:rsidRPr="00EC419F" w:rsidRDefault="000B3732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confounding factors identified?</w:t>
            </w:r>
          </w:p>
        </w:tc>
      </w:tr>
      <w:tr w:rsidR="0053033A" w:rsidRPr="00EC419F" w14:paraId="5B46D91F" w14:textId="77777777" w:rsidTr="0027513E">
        <w:tc>
          <w:tcPr>
            <w:tcW w:w="1869" w:type="dxa"/>
          </w:tcPr>
          <w:p w14:paraId="3EDF54A0" w14:textId="346C469D" w:rsidR="0053033A" w:rsidRPr="00EC419F" w:rsidRDefault="00E61C94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53033A" w:rsidRPr="00EC419F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996" w:type="dxa"/>
          </w:tcPr>
          <w:p w14:paraId="18BE6574" w14:textId="7C8B0D37" w:rsidR="0053033A" w:rsidRPr="00EC419F" w:rsidRDefault="000B3732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strategies to deal with confounding factors stated?</w:t>
            </w:r>
          </w:p>
        </w:tc>
      </w:tr>
      <w:tr w:rsidR="0053033A" w:rsidRPr="00EC419F" w14:paraId="3495EEC5" w14:textId="77777777" w:rsidTr="0027513E">
        <w:tc>
          <w:tcPr>
            <w:tcW w:w="1869" w:type="dxa"/>
          </w:tcPr>
          <w:p w14:paraId="48046D20" w14:textId="38DDD64B" w:rsidR="0053033A" w:rsidRPr="00EC419F" w:rsidRDefault="00E61C94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53033A" w:rsidRPr="00EC419F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996" w:type="dxa"/>
          </w:tcPr>
          <w:p w14:paraId="6CDB4FEB" w14:textId="60CF423D" w:rsidR="0053033A" w:rsidRPr="00EC419F" w:rsidRDefault="000B3732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the groups/participants free of the outcome at the start of the study (or at the moment of exposure)?</w:t>
            </w:r>
          </w:p>
        </w:tc>
      </w:tr>
      <w:tr w:rsidR="0053033A" w:rsidRPr="00EC419F" w14:paraId="5E7E9DDD" w14:textId="77777777" w:rsidTr="0027513E">
        <w:tc>
          <w:tcPr>
            <w:tcW w:w="1869" w:type="dxa"/>
          </w:tcPr>
          <w:p w14:paraId="76F5D3E7" w14:textId="3172CC3F" w:rsidR="0053033A" w:rsidRPr="00EC419F" w:rsidRDefault="00E61C94" w:rsidP="002C777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419F">
              <w:rPr>
                <w:rFonts w:ascii="Times New Roman" w:hAnsi="Times New Roman" w:cs="Times New Roman"/>
                <w:color w:val="000000" w:themeColor="text1"/>
                <w:szCs w:val="20"/>
              </w:rPr>
              <w:t>Q</w:t>
            </w:r>
            <w:r w:rsidR="00717A11" w:rsidRPr="00EC419F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1996" w:type="dxa"/>
          </w:tcPr>
          <w:p w14:paraId="4FCF4B0A" w14:textId="50F67DDD" w:rsidR="0053033A" w:rsidRPr="00EC419F" w:rsidRDefault="000B3732" w:rsidP="002C777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419F">
              <w:rPr>
                <w:rFonts w:ascii="Times New Roman" w:hAnsi="Times New Roman" w:cs="Times New Roman"/>
                <w:color w:val="000000" w:themeColor="text1"/>
                <w:szCs w:val="20"/>
              </w:rPr>
              <w:t>Were the outcomes measured in a valid and reliable way?</w:t>
            </w:r>
          </w:p>
        </w:tc>
      </w:tr>
      <w:tr w:rsidR="0053033A" w:rsidRPr="00EC419F" w14:paraId="76ED0CF2" w14:textId="77777777" w:rsidTr="0027513E">
        <w:tc>
          <w:tcPr>
            <w:tcW w:w="1869" w:type="dxa"/>
          </w:tcPr>
          <w:p w14:paraId="21301207" w14:textId="1C124DED" w:rsidR="0053033A" w:rsidRPr="00EC419F" w:rsidRDefault="00E61C94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717A11" w:rsidRPr="00EC419F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996" w:type="dxa"/>
          </w:tcPr>
          <w:p w14:paraId="4C306059" w14:textId="06A6A6E0" w:rsidR="0053033A" w:rsidRPr="00EC419F" w:rsidRDefault="000B3732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Was the follow up time reported and sufficient to be long enough for outcomes to occur?</w:t>
            </w:r>
          </w:p>
        </w:tc>
      </w:tr>
      <w:tr w:rsidR="0053033A" w:rsidRPr="00EC419F" w14:paraId="0101BADC" w14:textId="77777777" w:rsidTr="0027513E">
        <w:tc>
          <w:tcPr>
            <w:tcW w:w="1869" w:type="dxa"/>
          </w:tcPr>
          <w:p w14:paraId="33E653B0" w14:textId="05444A0E" w:rsidR="0053033A" w:rsidRPr="00EC419F" w:rsidRDefault="00E61C94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717A11" w:rsidRPr="00EC419F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996" w:type="dxa"/>
          </w:tcPr>
          <w:p w14:paraId="26255384" w14:textId="50C18E5D" w:rsidR="0053033A" w:rsidRPr="00EC419F" w:rsidRDefault="000B3732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Was follow up complete, and if not, were the reasons to loss to follow up described and explored?</w:t>
            </w:r>
          </w:p>
        </w:tc>
      </w:tr>
      <w:tr w:rsidR="0053033A" w:rsidRPr="00EC419F" w14:paraId="6E3A999C" w14:textId="77777777" w:rsidTr="0027513E">
        <w:tc>
          <w:tcPr>
            <w:tcW w:w="1869" w:type="dxa"/>
          </w:tcPr>
          <w:p w14:paraId="5DF38550" w14:textId="27D99D1B" w:rsidR="0053033A" w:rsidRPr="00EC419F" w:rsidRDefault="00E61C94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717A11" w:rsidRPr="00EC419F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996" w:type="dxa"/>
          </w:tcPr>
          <w:p w14:paraId="624E3B02" w14:textId="766E0BE2" w:rsidR="0053033A" w:rsidRPr="00EC419F" w:rsidRDefault="000B3732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strategies to address incomplete follow up utilized?</w:t>
            </w:r>
          </w:p>
        </w:tc>
      </w:tr>
      <w:tr w:rsidR="0053033A" w:rsidRPr="00EC419F" w14:paraId="2E8F0531" w14:textId="77777777" w:rsidTr="0027513E">
        <w:tc>
          <w:tcPr>
            <w:tcW w:w="1869" w:type="dxa"/>
            <w:tcBorders>
              <w:bottom w:val="single" w:sz="4" w:space="0" w:color="auto"/>
            </w:tcBorders>
          </w:tcPr>
          <w:p w14:paraId="06C75A63" w14:textId="626CDA1E" w:rsidR="0053033A" w:rsidRPr="00EC419F" w:rsidRDefault="00E61C94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717A11" w:rsidRPr="00EC419F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1996" w:type="dxa"/>
            <w:tcBorders>
              <w:bottom w:val="single" w:sz="4" w:space="0" w:color="auto"/>
            </w:tcBorders>
          </w:tcPr>
          <w:p w14:paraId="28E32F01" w14:textId="01AAE406" w:rsidR="0053033A" w:rsidRPr="00EC419F" w:rsidRDefault="000B3732" w:rsidP="002C7779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Was appropriate statistical analysis used?</w:t>
            </w:r>
          </w:p>
        </w:tc>
      </w:tr>
    </w:tbl>
    <w:p w14:paraId="30C9FA15" w14:textId="70D3DC5F" w:rsidR="00733917" w:rsidRPr="00EC419F" w:rsidRDefault="0052373F" w:rsidP="004224EF">
      <w:pPr>
        <w:spacing w:after="0"/>
        <w:rPr>
          <w:rFonts w:ascii="Times New Roman" w:hAnsi="Times New Roman" w:cs="Times New Roman"/>
          <w:szCs w:val="20"/>
        </w:rPr>
        <w:sectPr w:rsidR="00733917" w:rsidRPr="00EC419F" w:rsidSect="009B56B9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EC419F">
        <w:rPr>
          <w:rFonts w:ascii="Times New Roman" w:hAnsi="Times New Roman" w:cs="Times New Roman"/>
          <w:szCs w:val="20"/>
        </w:rPr>
        <w:t xml:space="preserve">Answers: </w:t>
      </w:r>
      <w:r w:rsidR="00B62A20" w:rsidRPr="00EC419F">
        <w:rPr>
          <w:rFonts w:ascii="Times New Roman" w:hAnsi="Times New Roman" w:cs="Times New Roman"/>
          <w:szCs w:val="20"/>
        </w:rPr>
        <w:t>y</w:t>
      </w:r>
      <w:r w:rsidRPr="00EC419F">
        <w:rPr>
          <w:rFonts w:ascii="Times New Roman" w:hAnsi="Times New Roman" w:cs="Times New Roman"/>
          <w:szCs w:val="20"/>
        </w:rPr>
        <w:t xml:space="preserve">es, </w:t>
      </w:r>
      <w:r w:rsidR="00B62A20" w:rsidRPr="00EC419F">
        <w:rPr>
          <w:rFonts w:ascii="Times New Roman" w:hAnsi="Times New Roman" w:cs="Times New Roman"/>
          <w:szCs w:val="20"/>
        </w:rPr>
        <w:t>n</w:t>
      </w:r>
      <w:r w:rsidRPr="00EC419F">
        <w:rPr>
          <w:rFonts w:ascii="Times New Roman" w:hAnsi="Times New Roman" w:cs="Times New Roman"/>
          <w:szCs w:val="20"/>
        </w:rPr>
        <w:t xml:space="preserve">o, </w:t>
      </w:r>
      <w:r w:rsidR="00B62A20" w:rsidRPr="00EC419F">
        <w:rPr>
          <w:rFonts w:ascii="Times New Roman" w:hAnsi="Times New Roman" w:cs="Times New Roman"/>
          <w:szCs w:val="20"/>
        </w:rPr>
        <w:t>u</w:t>
      </w:r>
      <w:r w:rsidRPr="00EC419F">
        <w:rPr>
          <w:rFonts w:ascii="Times New Roman" w:hAnsi="Times New Roman" w:cs="Times New Roman"/>
          <w:szCs w:val="20"/>
        </w:rPr>
        <w:t>nclear or not applicable (N/A)</w:t>
      </w:r>
      <w:r w:rsidR="00C60896" w:rsidRPr="00EC419F">
        <w:rPr>
          <w:rFonts w:ascii="Times New Roman" w:hAnsi="Times New Roman" w:cs="Times New Roman"/>
          <w:szCs w:val="20"/>
        </w:rPr>
        <w:t>.</w:t>
      </w:r>
    </w:p>
    <w:p w14:paraId="7FE18910" w14:textId="401EC5C7" w:rsidR="00D46DEC" w:rsidRPr="004F3180" w:rsidRDefault="00D46DEC" w:rsidP="00BC294F">
      <w:pPr>
        <w:spacing w:after="0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D46DEC" w:rsidRPr="004F3180" w:rsidSect="00BC294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0B2AA" w14:textId="77777777" w:rsidR="00AE5CC6" w:rsidRDefault="00AE5CC6" w:rsidP="00CB68B5">
      <w:pPr>
        <w:spacing w:after="0" w:line="240" w:lineRule="auto"/>
      </w:pPr>
      <w:r>
        <w:separator/>
      </w:r>
    </w:p>
  </w:endnote>
  <w:endnote w:type="continuationSeparator" w:id="0">
    <w:p w14:paraId="70DB3443" w14:textId="77777777" w:rsidR="00AE5CC6" w:rsidRDefault="00AE5CC6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B0966" w14:textId="77777777" w:rsidR="00AE5CC6" w:rsidRDefault="00AE5CC6" w:rsidP="00CB68B5">
      <w:pPr>
        <w:spacing w:after="0" w:line="240" w:lineRule="auto"/>
      </w:pPr>
      <w:r>
        <w:separator/>
      </w:r>
    </w:p>
  </w:footnote>
  <w:footnote w:type="continuationSeparator" w:id="0">
    <w:p w14:paraId="60D2DEBB" w14:textId="77777777" w:rsidR="00AE5CC6" w:rsidRDefault="00AE5CC6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2028F"/>
    <w:rsid w:val="00A207E6"/>
    <w:rsid w:val="00A20D60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CC6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94F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9401-7F15-49CA-B04E-CB9F7FD9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2024-02-13T02:48:00Z</dcterms:created>
  <dcterms:modified xsi:type="dcterms:W3CDTF">2024-02-13T02:48:00Z</dcterms:modified>
</cp:coreProperties>
</file>