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42AC" w14:textId="2A0C44AA" w:rsidR="00EA4590" w:rsidRPr="00601FD3" w:rsidRDefault="0048612B" w:rsidP="00EA4590">
      <w:pPr>
        <w:jc w:val="left"/>
        <w:rPr>
          <w:rFonts w:ascii="Times New Roman" w:hAnsi="Times New Roman" w:cs="Times New Roman"/>
          <w:b/>
          <w:bCs/>
          <w:color w:val="000000" w:themeColor="text1"/>
          <w:sz w:val="32"/>
          <w:szCs w:val="32"/>
        </w:rPr>
      </w:pPr>
      <w:r w:rsidRPr="00601FD3">
        <w:rPr>
          <w:rFonts w:ascii="Times New Roman" w:hAnsi="Times New Roman" w:cs="Times New Roman"/>
          <w:b/>
          <w:bCs/>
          <w:color w:val="000000" w:themeColor="text1"/>
          <w:sz w:val="32"/>
          <w:szCs w:val="32"/>
        </w:rPr>
        <w:t>Supplement</w:t>
      </w:r>
    </w:p>
    <w:p w14:paraId="78E6488F" w14:textId="4F46BD1A" w:rsidR="00276F91" w:rsidRPr="00601FD3" w:rsidRDefault="00EA4590" w:rsidP="00511BDD">
      <w:pPr>
        <w:spacing w:line="480" w:lineRule="auto"/>
        <w:ind w:firstLine="420"/>
        <w:rPr>
          <w:rFonts w:ascii="Times New Roman" w:eastAsia="SimSun" w:hAnsi="Times New Roman" w:cs="Times New Roman"/>
          <w:color w:val="000000" w:themeColor="text1"/>
          <w:sz w:val="22"/>
        </w:rPr>
      </w:pPr>
      <w:r w:rsidRPr="00601FD3">
        <w:rPr>
          <w:rFonts w:ascii="Times New Roman" w:eastAsia="SimSun" w:hAnsi="Times New Roman" w:cs="Times New Roman"/>
          <w:color w:val="000000" w:themeColor="text1"/>
          <w:sz w:val="22"/>
        </w:rPr>
        <w:t>Greater BMI and excessive WC were associated with all hypertension stages and phenotypes (</w:t>
      </w:r>
      <w:r w:rsidR="00061B06">
        <w:rPr>
          <w:rFonts w:ascii="Times New Roman" w:eastAsia="SimSun" w:hAnsi="Times New Roman" w:cs="Times New Roman"/>
          <w:color w:val="000000" w:themeColor="text1"/>
          <w:sz w:val="22"/>
        </w:rPr>
        <w:t xml:space="preserve">Supplementary Material </w:t>
      </w:r>
      <w:r w:rsidRPr="00601FD3">
        <w:rPr>
          <w:rFonts w:ascii="Times New Roman" w:eastAsia="SimSun" w:hAnsi="Times New Roman" w:cs="Times New Roman"/>
          <w:color w:val="000000" w:themeColor="text1"/>
          <w:sz w:val="22"/>
        </w:rPr>
        <w:t>1). Furthermore, larger WC and BMI at baseline was found to be associated with transitions of hypertension stage and phenotype (</w:t>
      </w:r>
      <w:r w:rsidR="00061B06">
        <w:rPr>
          <w:rFonts w:ascii="Times New Roman" w:eastAsia="SimSun" w:hAnsi="Times New Roman" w:cs="Times New Roman"/>
          <w:color w:val="000000" w:themeColor="text1"/>
          <w:sz w:val="22"/>
        </w:rPr>
        <w:t xml:space="preserve">Supplementary Material </w:t>
      </w:r>
      <w:r w:rsidRPr="00601FD3">
        <w:rPr>
          <w:rFonts w:ascii="Times New Roman" w:hAnsi="Times New Roman" w:cs="Times New Roman"/>
          <w:color w:val="000000" w:themeColor="text1"/>
          <w:sz w:val="22"/>
        </w:rPr>
        <w:t>2</w:t>
      </w:r>
      <w:r w:rsidRPr="00601FD3">
        <w:rPr>
          <w:rFonts w:ascii="Times New Roman" w:eastAsia="SimSun" w:hAnsi="Times New Roman" w:cs="Times New Roman"/>
          <w:color w:val="000000" w:themeColor="text1"/>
          <w:sz w:val="22"/>
        </w:rPr>
        <w:t xml:space="preserve">). Furthermore, larger WC was associated with hypertension stage transitions in people with abnormal weight than in those with normal weight, while the larger BMI was associated with hypertension stage transitions and phenotype transitions in normal WC than excessive WC. </w:t>
      </w:r>
    </w:p>
    <w:p w14:paraId="4549D514" w14:textId="06089E75" w:rsidR="00061B06" w:rsidRPr="00601FD3" w:rsidRDefault="00061B06" w:rsidP="00061B06">
      <w:pPr>
        <w:spacing w:line="480" w:lineRule="auto"/>
        <w:ind w:firstLine="42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Supplementary Materials 3 and 4 </w:t>
      </w:r>
      <w:r w:rsidRPr="00601FD3">
        <w:rPr>
          <w:rFonts w:ascii="Times New Roman" w:hAnsi="Times New Roman" w:cs="Times New Roman"/>
          <w:color w:val="000000" w:themeColor="text1"/>
          <w:sz w:val="22"/>
        </w:rPr>
        <w:t>visualized the Associations of obesity phenotypes with the transitions of hypertension stages and phenotypes from 2011 to 2015.</w:t>
      </w:r>
    </w:p>
    <w:p w14:paraId="3C802CFE" w14:textId="77777777" w:rsidR="00061B06" w:rsidRPr="00601FD3" w:rsidRDefault="00061B06" w:rsidP="00061B06">
      <w:pPr>
        <w:spacing w:line="480" w:lineRule="auto"/>
        <w:ind w:firstLine="420"/>
        <w:rPr>
          <w:rFonts w:ascii="Times New Roman" w:hAnsi="Times New Roman" w:cs="Times New Roman"/>
          <w:color w:val="000000" w:themeColor="text1"/>
          <w:sz w:val="22"/>
        </w:rPr>
      </w:pPr>
      <w:r w:rsidRPr="00601FD3">
        <w:rPr>
          <w:rFonts w:ascii="Times New Roman" w:hAnsi="Times New Roman" w:cs="Times New Roman"/>
          <w:color w:val="000000" w:themeColor="text1"/>
          <w:sz w:val="22"/>
        </w:rPr>
        <w:t xml:space="preserve">The association of greater WC with hypertension was found to be more significant among those with greater BMI, whereas the association of greater BMI with hypertension was found to be more significant among those with normal WC. </w:t>
      </w:r>
    </w:p>
    <w:p w14:paraId="6F3D19CB" w14:textId="77777777" w:rsidR="00511BDD" w:rsidRPr="00601FD3" w:rsidRDefault="00511BDD" w:rsidP="009D5758">
      <w:pPr>
        <w:jc w:val="left"/>
        <w:rPr>
          <w:rFonts w:ascii="Times New Roman" w:hAnsi="Times New Roman" w:cs="Times New Roman"/>
          <w:color w:val="000000" w:themeColor="text1"/>
          <w:szCs w:val="21"/>
        </w:rPr>
        <w:sectPr w:rsidR="00511BDD" w:rsidRPr="00601FD3" w:rsidSect="00511BDD">
          <w:pgSz w:w="11906" w:h="16838"/>
          <w:pgMar w:top="1800" w:right="1440" w:bottom="1800" w:left="1440" w:header="851" w:footer="992" w:gutter="0"/>
          <w:cols w:space="425"/>
          <w:docGrid w:type="lines" w:linePitch="312"/>
        </w:sectPr>
      </w:pPr>
    </w:p>
    <w:p w14:paraId="20E6FD60" w14:textId="13B3A6C7" w:rsidR="009D5758" w:rsidRPr="00601FD3" w:rsidRDefault="004C7ED9" w:rsidP="009D5758">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Supplementary Material 1</w:t>
      </w:r>
      <w:r w:rsidR="009D5758" w:rsidRPr="00601FD3">
        <w:rPr>
          <w:rFonts w:ascii="Times New Roman" w:hAnsi="Times New Roman" w:cs="Times New Roman"/>
          <w:color w:val="000000" w:themeColor="text1"/>
          <w:szCs w:val="21"/>
        </w:rPr>
        <w:t xml:space="preserve">. OR (95% CI) of greater BMI and excessive WC with stages and phenotypes of hypertension in 2011 stratified by </w:t>
      </w:r>
      <w:proofErr w:type="gramStart"/>
      <w:r w:rsidR="009D5758" w:rsidRPr="00601FD3">
        <w:rPr>
          <w:rFonts w:ascii="Times New Roman" w:hAnsi="Times New Roman" w:cs="Times New Roman"/>
          <w:color w:val="000000" w:themeColor="text1"/>
          <w:szCs w:val="21"/>
        </w:rPr>
        <w:t>sex</w:t>
      </w:r>
      <w:proofErr w:type="gramEnd"/>
    </w:p>
    <w:tbl>
      <w:tblPr>
        <w:tblStyle w:val="a3"/>
        <w:tblW w:w="13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43"/>
        <w:gridCol w:w="2266"/>
        <w:gridCol w:w="2266"/>
        <w:gridCol w:w="242"/>
        <w:gridCol w:w="1597"/>
        <w:gridCol w:w="1701"/>
        <w:gridCol w:w="1701"/>
      </w:tblGrid>
      <w:tr w:rsidR="00601FD3" w:rsidRPr="00601FD3" w14:paraId="42983A13" w14:textId="77777777" w:rsidTr="00B70306">
        <w:trPr>
          <w:jc w:val="center"/>
        </w:trPr>
        <w:tc>
          <w:tcPr>
            <w:tcW w:w="0" w:type="auto"/>
            <w:tcBorders>
              <w:top w:val="single" w:sz="4" w:space="0" w:color="auto"/>
            </w:tcBorders>
          </w:tcPr>
          <w:p w14:paraId="5892FCE0" w14:textId="77777777" w:rsidR="009D5758" w:rsidRPr="00601FD3" w:rsidRDefault="009D5758" w:rsidP="00B70306">
            <w:pPr>
              <w:jc w:val="left"/>
              <w:rPr>
                <w:rFonts w:ascii="Times New Roman" w:hAnsi="Times New Roman" w:cs="Times New Roman"/>
                <w:color w:val="000000" w:themeColor="text1"/>
                <w:szCs w:val="21"/>
              </w:rPr>
            </w:pPr>
          </w:p>
        </w:tc>
        <w:tc>
          <w:tcPr>
            <w:tcW w:w="0" w:type="auto"/>
            <w:gridSpan w:val="3"/>
            <w:tcBorders>
              <w:top w:val="single" w:sz="4" w:space="0" w:color="auto"/>
              <w:bottom w:val="single" w:sz="4" w:space="0" w:color="auto"/>
            </w:tcBorders>
          </w:tcPr>
          <w:p w14:paraId="19FC15A3"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 xml:space="preserve">Stage </w:t>
            </w:r>
            <w:r w:rsidRPr="00601FD3">
              <w:rPr>
                <w:rFonts w:ascii="Times New Roman" w:eastAsia="DengXian" w:hAnsi="Times New Roman" w:cs="Times New Roman"/>
                <w:b/>
                <w:bCs/>
                <w:color w:val="000000" w:themeColor="text1"/>
                <w:kern w:val="0"/>
                <w:szCs w:val="21"/>
              </w:rPr>
              <w:t>transition</w:t>
            </w:r>
          </w:p>
        </w:tc>
        <w:tc>
          <w:tcPr>
            <w:tcW w:w="0" w:type="auto"/>
            <w:tcBorders>
              <w:top w:val="single" w:sz="4" w:space="0" w:color="auto"/>
            </w:tcBorders>
          </w:tcPr>
          <w:p w14:paraId="76D6D625" w14:textId="77777777" w:rsidR="009D5758" w:rsidRPr="00601FD3" w:rsidRDefault="009D5758" w:rsidP="00B70306">
            <w:pPr>
              <w:jc w:val="center"/>
              <w:rPr>
                <w:rFonts w:ascii="Times New Roman" w:hAnsi="Times New Roman" w:cs="Times New Roman"/>
                <w:b/>
                <w:bCs/>
                <w:color w:val="000000" w:themeColor="text1"/>
                <w:szCs w:val="21"/>
              </w:rPr>
            </w:pPr>
          </w:p>
        </w:tc>
        <w:tc>
          <w:tcPr>
            <w:tcW w:w="4999" w:type="dxa"/>
            <w:gridSpan w:val="3"/>
            <w:tcBorders>
              <w:top w:val="single" w:sz="4" w:space="0" w:color="auto"/>
              <w:bottom w:val="single" w:sz="4" w:space="0" w:color="auto"/>
            </w:tcBorders>
          </w:tcPr>
          <w:p w14:paraId="2AE231AB"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 xml:space="preserve">Phenotype </w:t>
            </w:r>
            <w:r w:rsidRPr="00601FD3">
              <w:rPr>
                <w:rFonts w:ascii="Times New Roman" w:eastAsia="DengXian" w:hAnsi="Times New Roman" w:cs="Times New Roman"/>
                <w:b/>
                <w:bCs/>
                <w:color w:val="000000" w:themeColor="text1"/>
                <w:kern w:val="0"/>
                <w:szCs w:val="21"/>
              </w:rPr>
              <w:t>transition</w:t>
            </w:r>
          </w:p>
        </w:tc>
      </w:tr>
      <w:tr w:rsidR="00601FD3" w:rsidRPr="00601FD3" w14:paraId="0FFFA907" w14:textId="77777777" w:rsidTr="00B70306">
        <w:trPr>
          <w:trHeight w:val="77"/>
          <w:jc w:val="center"/>
        </w:trPr>
        <w:tc>
          <w:tcPr>
            <w:tcW w:w="0" w:type="auto"/>
          </w:tcPr>
          <w:p w14:paraId="64F8B348" w14:textId="77777777" w:rsidR="009D5758" w:rsidRPr="00601FD3" w:rsidRDefault="009D5758" w:rsidP="00B70306">
            <w:pPr>
              <w:jc w:val="left"/>
              <w:rPr>
                <w:rFonts w:ascii="Times New Roman" w:hAnsi="Times New Roman" w:cs="Times New Roman"/>
                <w:color w:val="000000" w:themeColor="text1"/>
                <w:szCs w:val="21"/>
              </w:rPr>
            </w:pPr>
          </w:p>
        </w:tc>
        <w:tc>
          <w:tcPr>
            <w:tcW w:w="0" w:type="auto"/>
            <w:tcBorders>
              <w:top w:val="single" w:sz="4" w:space="0" w:color="auto"/>
              <w:bottom w:val="single" w:sz="4" w:space="0" w:color="auto"/>
            </w:tcBorders>
          </w:tcPr>
          <w:p w14:paraId="3402BCD4"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Prehypertension</w:t>
            </w:r>
          </w:p>
        </w:tc>
        <w:tc>
          <w:tcPr>
            <w:tcW w:w="0" w:type="auto"/>
            <w:tcBorders>
              <w:top w:val="single" w:sz="4" w:space="0" w:color="auto"/>
              <w:bottom w:val="single" w:sz="4" w:space="0" w:color="auto"/>
            </w:tcBorders>
          </w:tcPr>
          <w:p w14:paraId="6812EB87"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Stage 1 hypertension</w:t>
            </w:r>
          </w:p>
        </w:tc>
        <w:tc>
          <w:tcPr>
            <w:tcW w:w="0" w:type="auto"/>
            <w:tcBorders>
              <w:top w:val="single" w:sz="4" w:space="0" w:color="auto"/>
              <w:bottom w:val="single" w:sz="4" w:space="0" w:color="auto"/>
            </w:tcBorders>
          </w:tcPr>
          <w:p w14:paraId="38E28411"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Stage 2 hypertension</w:t>
            </w:r>
          </w:p>
        </w:tc>
        <w:tc>
          <w:tcPr>
            <w:tcW w:w="0" w:type="auto"/>
            <w:tcBorders>
              <w:bottom w:val="single" w:sz="4" w:space="0" w:color="auto"/>
            </w:tcBorders>
          </w:tcPr>
          <w:p w14:paraId="64F15AD6"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tcBorders>
              <w:top w:val="single" w:sz="4" w:space="0" w:color="auto"/>
              <w:bottom w:val="single" w:sz="4" w:space="0" w:color="auto"/>
            </w:tcBorders>
          </w:tcPr>
          <w:p w14:paraId="1A36BBB4"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ISH</w:t>
            </w:r>
          </w:p>
        </w:tc>
        <w:tc>
          <w:tcPr>
            <w:tcW w:w="1701" w:type="dxa"/>
            <w:tcBorders>
              <w:top w:val="single" w:sz="4" w:space="0" w:color="auto"/>
              <w:bottom w:val="single" w:sz="4" w:space="0" w:color="auto"/>
            </w:tcBorders>
          </w:tcPr>
          <w:p w14:paraId="40CBBAD0"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IDH</w:t>
            </w:r>
          </w:p>
        </w:tc>
        <w:tc>
          <w:tcPr>
            <w:tcW w:w="1701" w:type="dxa"/>
            <w:tcBorders>
              <w:top w:val="single" w:sz="4" w:space="0" w:color="auto"/>
              <w:bottom w:val="single" w:sz="4" w:space="0" w:color="auto"/>
            </w:tcBorders>
          </w:tcPr>
          <w:p w14:paraId="62CA8FE8"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SDH</w:t>
            </w:r>
          </w:p>
        </w:tc>
      </w:tr>
      <w:tr w:rsidR="00601FD3" w:rsidRPr="00601FD3" w14:paraId="72CD1334" w14:textId="77777777" w:rsidTr="00B70306">
        <w:trPr>
          <w:jc w:val="center"/>
        </w:trPr>
        <w:tc>
          <w:tcPr>
            <w:tcW w:w="0" w:type="auto"/>
            <w:tcBorders>
              <w:top w:val="single" w:sz="4" w:space="0" w:color="auto"/>
            </w:tcBorders>
          </w:tcPr>
          <w:p w14:paraId="5E041AAD"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b/>
                <w:bCs/>
                <w:i/>
                <w:iCs/>
                <w:color w:val="000000" w:themeColor="text1"/>
                <w:szCs w:val="21"/>
              </w:rPr>
              <w:t>Overall(N=9015)</w:t>
            </w:r>
          </w:p>
        </w:tc>
        <w:tc>
          <w:tcPr>
            <w:tcW w:w="0" w:type="auto"/>
            <w:tcBorders>
              <w:top w:val="single" w:sz="4" w:space="0" w:color="auto"/>
            </w:tcBorders>
          </w:tcPr>
          <w:p w14:paraId="5E805455" w14:textId="77777777" w:rsidR="009D5758" w:rsidRPr="00601FD3" w:rsidRDefault="009D5758" w:rsidP="00B70306">
            <w:pPr>
              <w:jc w:val="left"/>
              <w:rPr>
                <w:rFonts w:ascii="Times New Roman" w:hAnsi="Times New Roman" w:cs="Times New Roman"/>
                <w:color w:val="000000" w:themeColor="text1"/>
                <w:szCs w:val="21"/>
              </w:rPr>
            </w:pPr>
          </w:p>
        </w:tc>
        <w:tc>
          <w:tcPr>
            <w:tcW w:w="0" w:type="auto"/>
            <w:tcBorders>
              <w:top w:val="single" w:sz="4" w:space="0" w:color="auto"/>
            </w:tcBorders>
          </w:tcPr>
          <w:p w14:paraId="7C3039E2" w14:textId="77777777" w:rsidR="009D5758" w:rsidRPr="00601FD3" w:rsidRDefault="009D5758" w:rsidP="00B70306">
            <w:pPr>
              <w:jc w:val="left"/>
              <w:rPr>
                <w:rFonts w:ascii="Times New Roman" w:hAnsi="Times New Roman" w:cs="Times New Roman"/>
                <w:color w:val="000000" w:themeColor="text1"/>
                <w:szCs w:val="21"/>
              </w:rPr>
            </w:pPr>
          </w:p>
        </w:tc>
        <w:tc>
          <w:tcPr>
            <w:tcW w:w="0" w:type="auto"/>
            <w:tcBorders>
              <w:top w:val="single" w:sz="4" w:space="0" w:color="auto"/>
            </w:tcBorders>
          </w:tcPr>
          <w:p w14:paraId="6129A0B7" w14:textId="77777777" w:rsidR="009D5758" w:rsidRPr="00601FD3" w:rsidRDefault="009D5758" w:rsidP="00B70306">
            <w:pPr>
              <w:jc w:val="left"/>
              <w:rPr>
                <w:rFonts w:ascii="Times New Roman" w:hAnsi="Times New Roman" w:cs="Times New Roman"/>
                <w:color w:val="000000" w:themeColor="text1"/>
                <w:szCs w:val="21"/>
              </w:rPr>
            </w:pPr>
          </w:p>
        </w:tc>
        <w:tc>
          <w:tcPr>
            <w:tcW w:w="0" w:type="auto"/>
            <w:tcBorders>
              <w:top w:val="single" w:sz="4" w:space="0" w:color="auto"/>
            </w:tcBorders>
          </w:tcPr>
          <w:p w14:paraId="15077203" w14:textId="77777777" w:rsidR="009D5758" w:rsidRPr="00601FD3" w:rsidRDefault="009D5758" w:rsidP="00B70306">
            <w:pPr>
              <w:jc w:val="left"/>
              <w:rPr>
                <w:rFonts w:ascii="Times New Roman" w:hAnsi="Times New Roman" w:cs="Times New Roman"/>
                <w:color w:val="000000" w:themeColor="text1"/>
                <w:szCs w:val="21"/>
              </w:rPr>
            </w:pPr>
          </w:p>
        </w:tc>
        <w:tc>
          <w:tcPr>
            <w:tcW w:w="1597" w:type="dxa"/>
            <w:tcBorders>
              <w:top w:val="single" w:sz="4" w:space="0" w:color="auto"/>
            </w:tcBorders>
          </w:tcPr>
          <w:p w14:paraId="59AD9549" w14:textId="77777777" w:rsidR="009D5758" w:rsidRPr="00601FD3" w:rsidRDefault="009D5758" w:rsidP="00B70306">
            <w:pPr>
              <w:jc w:val="left"/>
              <w:rPr>
                <w:rFonts w:ascii="Times New Roman" w:hAnsi="Times New Roman" w:cs="Times New Roman"/>
                <w:color w:val="000000" w:themeColor="text1"/>
                <w:szCs w:val="21"/>
              </w:rPr>
            </w:pPr>
          </w:p>
        </w:tc>
        <w:tc>
          <w:tcPr>
            <w:tcW w:w="1701" w:type="dxa"/>
            <w:tcBorders>
              <w:top w:val="single" w:sz="4" w:space="0" w:color="auto"/>
            </w:tcBorders>
          </w:tcPr>
          <w:p w14:paraId="7344F433" w14:textId="77777777" w:rsidR="009D5758" w:rsidRPr="00601FD3" w:rsidRDefault="009D5758" w:rsidP="00B70306">
            <w:pPr>
              <w:jc w:val="left"/>
              <w:rPr>
                <w:rFonts w:ascii="Times New Roman" w:hAnsi="Times New Roman" w:cs="Times New Roman"/>
                <w:color w:val="000000" w:themeColor="text1"/>
                <w:szCs w:val="21"/>
              </w:rPr>
            </w:pPr>
          </w:p>
        </w:tc>
        <w:tc>
          <w:tcPr>
            <w:tcW w:w="1701" w:type="dxa"/>
            <w:tcBorders>
              <w:top w:val="single" w:sz="4" w:space="0" w:color="auto"/>
            </w:tcBorders>
          </w:tcPr>
          <w:p w14:paraId="37592AD6" w14:textId="77777777" w:rsidR="009D5758" w:rsidRPr="00601FD3" w:rsidRDefault="009D5758" w:rsidP="00B70306">
            <w:pPr>
              <w:jc w:val="left"/>
              <w:rPr>
                <w:rFonts w:ascii="Times New Roman" w:hAnsi="Times New Roman" w:cs="Times New Roman"/>
                <w:color w:val="000000" w:themeColor="text1"/>
                <w:szCs w:val="21"/>
              </w:rPr>
            </w:pPr>
          </w:p>
        </w:tc>
      </w:tr>
      <w:tr w:rsidR="00601FD3" w:rsidRPr="00601FD3" w14:paraId="296B40EF" w14:textId="77777777" w:rsidTr="00B70306">
        <w:trPr>
          <w:jc w:val="center"/>
        </w:trPr>
        <w:tc>
          <w:tcPr>
            <w:tcW w:w="0" w:type="auto"/>
          </w:tcPr>
          <w:p w14:paraId="4066AC53"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 xml:space="preserve">  Overweight</w:t>
            </w:r>
          </w:p>
        </w:tc>
        <w:tc>
          <w:tcPr>
            <w:tcW w:w="0" w:type="auto"/>
            <w:shd w:val="clear" w:color="auto" w:fill="auto"/>
            <w:vAlign w:val="center"/>
          </w:tcPr>
          <w:p w14:paraId="3DEDBE80"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1.78 (1.59-1.99)</w:t>
            </w:r>
          </w:p>
        </w:tc>
        <w:tc>
          <w:tcPr>
            <w:tcW w:w="0" w:type="auto"/>
            <w:shd w:val="clear" w:color="auto" w:fill="auto"/>
            <w:vAlign w:val="center"/>
          </w:tcPr>
          <w:p w14:paraId="64B1FFE0"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2.19 (1.88-2.54)</w:t>
            </w:r>
          </w:p>
        </w:tc>
        <w:tc>
          <w:tcPr>
            <w:tcW w:w="0" w:type="auto"/>
            <w:shd w:val="clear" w:color="auto" w:fill="auto"/>
            <w:vAlign w:val="center"/>
          </w:tcPr>
          <w:p w14:paraId="1BB22A3D"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2.14 (1.74-2.63)</w:t>
            </w:r>
          </w:p>
        </w:tc>
        <w:tc>
          <w:tcPr>
            <w:tcW w:w="0" w:type="auto"/>
          </w:tcPr>
          <w:p w14:paraId="1D0B3549"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tcPr>
          <w:p w14:paraId="5208042A"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1.87 (1.58-2.21)</w:t>
            </w:r>
          </w:p>
        </w:tc>
        <w:tc>
          <w:tcPr>
            <w:tcW w:w="1701" w:type="dxa"/>
            <w:shd w:val="clear" w:color="auto" w:fill="auto"/>
          </w:tcPr>
          <w:p w14:paraId="1894A683"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3.24 (2.23-4.72)</w:t>
            </w:r>
          </w:p>
        </w:tc>
        <w:tc>
          <w:tcPr>
            <w:tcW w:w="1701" w:type="dxa"/>
            <w:shd w:val="clear" w:color="auto" w:fill="auto"/>
          </w:tcPr>
          <w:p w14:paraId="19C4AE9B"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2.59 (2.13-3.14)</w:t>
            </w:r>
          </w:p>
        </w:tc>
      </w:tr>
      <w:tr w:rsidR="00601FD3" w:rsidRPr="00601FD3" w14:paraId="230EDAC2" w14:textId="77777777" w:rsidTr="00B70306">
        <w:trPr>
          <w:trHeight w:val="77"/>
          <w:jc w:val="center"/>
        </w:trPr>
        <w:tc>
          <w:tcPr>
            <w:tcW w:w="0" w:type="auto"/>
          </w:tcPr>
          <w:p w14:paraId="12A6D563"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 xml:space="preserve">  Obesity</w:t>
            </w:r>
          </w:p>
        </w:tc>
        <w:tc>
          <w:tcPr>
            <w:tcW w:w="0" w:type="auto"/>
            <w:shd w:val="clear" w:color="auto" w:fill="auto"/>
            <w:vAlign w:val="center"/>
          </w:tcPr>
          <w:p w14:paraId="2554F229"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2.72 (2.23-3.32)</w:t>
            </w:r>
          </w:p>
        </w:tc>
        <w:tc>
          <w:tcPr>
            <w:tcW w:w="0" w:type="auto"/>
            <w:shd w:val="clear" w:color="auto" w:fill="auto"/>
            <w:vAlign w:val="center"/>
          </w:tcPr>
          <w:p w14:paraId="46DAD567"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4.18 (3.28-5.32)</w:t>
            </w:r>
          </w:p>
        </w:tc>
        <w:tc>
          <w:tcPr>
            <w:tcW w:w="0" w:type="auto"/>
            <w:shd w:val="clear" w:color="auto" w:fill="auto"/>
            <w:vAlign w:val="center"/>
          </w:tcPr>
          <w:p w14:paraId="5439A755"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4.69 (3.43-6.41)</w:t>
            </w:r>
          </w:p>
        </w:tc>
        <w:tc>
          <w:tcPr>
            <w:tcW w:w="0" w:type="auto"/>
          </w:tcPr>
          <w:p w14:paraId="42D55CB1"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vAlign w:val="center"/>
          </w:tcPr>
          <w:p w14:paraId="0E51D2F6"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3.20 (2.42-4.24)</w:t>
            </w:r>
          </w:p>
        </w:tc>
        <w:tc>
          <w:tcPr>
            <w:tcW w:w="1701" w:type="dxa"/>
            <w:shd w:val="clear" w:color="auto" w:fill="auto"/>
            <w:vAlign w:val="center"/>
          </w:tcPr>
          <w:p w14:paraId="7416E6FA"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4.36 (2.49-7.65)</w:t>
            </w:r>
          </w:p>
        </w:tc>
        <w:tc>
          <w:tcPr>
            <w:tcW w:w="1701" w:type="dxa"/>
            <w:shd w:val="clear" w:color="auto" w:fill="auto"/>
            <w:vAlign w:val="center"/>
          </w:tcPr>
          <w:p w14:paraId="2DA80D31"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6.41 (4.88-8.44)</w:t>
            </w:r>
          </w:p>
        </w:tc>
      </w:tr>
      <w:tr w:rsidR="00601FD3" w:rsidRPr="00601FD3" w14:paraId="78055BDB" w14:textId="77777777" w:rsidTr="00B70306">
        <w:trPr>
          <w:trHeight w:val="77"/>
          <w:jc w:val="center"/>
        </w:trPr>
        <w:tc>
          <w:tcPr>
            <w:tcW w:w="0" w:type="auto"/>
          </w:tcPr>
          <w:p w14:paraId="0BEB02AC" w14:textId="77777777" w:rsidR="009D5758" w:rsidRPr="00601FD3" w:rsidRDefault="009D5758" w:rsidP="00B70306">
            <w:pPr>
              <w:ind w:firstLineChars="100" w:firstLine="210"/>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Excessive WC</w:t>
            </w:r>
          </w:p>
        </w:tc>
        <w:tc>
          <w:tcPr>
            <w:tcW w:w="0" w:type="auto"/>
            <w:shd w:val="clear" w:color="auto" w:fill="auto"/>
            <w:vAlign w:val="center"/>
          </w:tcPr>
          <w:p w14:paraId="51D22AD1"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1.83 (1.64-2.03)</w:t>
            </w:r>
          </w:p>
        </w:tc>
        <w:tc>
          <w:tcPr>
            <w:tcW w:w="0" w:type="auto"/>
            <w:shd w:val="clear" w:color="auto" w:fill="auto"/>
            <w:vAlign w:val="center"/>
          </w:tcPr>
          <w:p w14:paraId="06C185D2"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2.53 (2.20-2.90)</w:t>
            </w:r>
          </w:p>
        </w:tc>
        <w:tc>
          <w:tcPr>
            <w:tcW w:w="0" w:type="auto"/>
            <w:shd w:val="clear" w:color="auto" w:fill="auto"/>
            <w:vAlign w:val="center"/>
          </w:tcPr>
          <w:p w14:paraId="4937805C"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2.94 (2.44-3.56)</w:t>
            </w:r>
          </w:p>
        </w:tc>
        <w:tc>
          <w:tcPr>
            <w:tcW w:w="0" w:type="auto"/>
          </w:tcPr>
          <w:p w14:paraId="714436AA"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vAlign w:val="center"/>
          </w:tcPr>
          <w:p w14:paraId="60F21184"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2.18 (1.87-2.54)</w:t>
            </w:r>
          </w:p>
        </w:tc>
        <w:tc>
          <w:tcPr>
            <w:tcW w:w="1701" w:type="dxa"/>
            <w:shd w:val="clear" w:color="auto" w:fill="auto"/>
            <w:vAlign w:val="center"/>
          </w:tcPr>
          <w:p w14:paraId="4196D53C"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3.77 (2.64-5.37)</w:t>
            </w:r>
          </w:p>
        </w:tc>
        <w:tc>
          <w:tcPr>
            <w:tcW w:w="1701" w:type="dxa"/>
            <w:shd w:val="clear" w:color="auto" w:fill="auto"/>
            <w:vAlign w:val="center"/>
          </w:tcPr>
          <w:p w14:paraId="527F484C"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3.33 (2.79-3.98)</w:t>
            </w:r>
          </w:p>
        </w:tc>
      </w:tr>
      <w:tr w:rsidR="00601FD3" w:rsidRPr="00601FD3" w14:paraId="77853F82" w14:textId="77777777" w:rsidTr="00B70306">
        <w:trPr>
          <w:jc w:val="center"/>
        </w:trPr>
        <w:tc>
          <w:tcPr>
            <w:tcW w:w="0" w:type="auto"/>
          </w:tcPr>
          <w:p w14:paraId="00A1CF02"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b/>
                <w:bCs/>
                <w:i/>
                <w:iCs/>
                <w:color w:val="000000" w:themeColor="text1"/>
                <w:szCs w:val="21"/>
              </w:rPr>
              <w:t>Male(N=4457)</w:t>
            </w:r>
          </w:p>
        </w:tc>
        <w:tc>
          <w:tcPr>
            <w:tcW w:w="0" w:type="auto"/>
            <w:shd w:val="clear" w:color="auto" w:fill="auto"/>
            <w:vAlign w:val="center"/>
          </w:tcPr>
          <w:p w14:paraId="5A8F294F" w14:textId="77777777" w:rsidR="009D5758" w:rsidRPr="00601FD3" w:rsidRDefault="009D5758" w:rsidP="00B70306">
            <w:pPr>
              <w:jc w:val="center"/>
              <w:rPr>
                <w:rFonts w:ascii="Times New Roman" w:hAnsi="Times New Roman" w:cs="Times New Roman"/>
                <w:b/>
                <w:bCs/>
                <w:color w:val="000000" w:themeColor="text1"/>
                <w:szCs w:val="21"/>
              </w:rPr>
            </w:pPr>
          </w:p>
        </w:tc>
        <w:tc>
          <w:tcPr>
            <w:tcW w:w="0" w:type="auto"/>
            <w:shd w:val="clear" w:color="auto" w:fill="auto"/>
            <w:vAlign w:val="center"/>
          </w:tcPr>
          <w:p w14:paraId="4130B4A3" w14:textId="77777777" w:rsidR="009D5758" w:rsidRPr="00601FD3" w:rsidRDefault="009D5758" w:rsidP="00B70306">
            <w:pPr>
              <w:jc w:val="center"/>
              <w:rPr>
                <w:rFonts w:ascii="Times New Roman" w:hAnsi="Times New Roman" w:cs="Times New Roman"/>
                <w:b/>
                <w:bCs/>
                <w:color w:val="000000" w:themeColor="text1"/>
                <w:szCs w:val="21"/>
              </w:rPr>
            </w:pPr>
          </w:p>
        </w:tc>
        <w:tc>
          <w:tcPr>
            <w:tcW w:w="0" w:type="auto"/>
            <w:shd w:val="clear" w:color="auto" w:fill="auto"/>
            <w:vAlign w:val="center"/>
          </w:tcPr>
          <w:p w14:paraId="048E969A" w14:textId="77777777" w:rsidR="009D5758" w:rsidRPr="00601FD3" w:rsidRDefault="009D5758" w:rsidP="00B70306">
            <w:pPr>
              <w:jc w:val="center"/>
              <w:rPr>
                <w:rFonts w:ascii="Times New Roman" w:hAnsi="Times New Roman" w:cs="Times New Roman"/>
                <w:b/>
                <w:bCs/>
                <w:color w:val="000000" w:themeColor="text1"/>
                <w:szCs w:val="21"/>
              </w:rPr>
            </w:pPr>
          </w:p>
        </w:tc>
        <w:tc>
          <w:tcPr>
            <w:tcW w:w="0" w:type="auto"/>
          </w:tcPr>
          <w:p w14:paraId="6D344D10"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vAlign w:val="center"/>
          </w:tcPr>
          <w:p w14:paraId="0A7D44B8" w14:textId="77777777" w:rsidR="009D5758" w:rsidRPr="00601FD3" w:rsidRDefault="009D5758" w:rsidP="00B70306">
            <w:pPr>
              <w:jc w:val="center"/>
              <w:rPr>
                <w:rFonts w:ascii="Times New Roman" w:hAnsi="Times New Roman" w:cs="Times New Roman"/>
                <w:b/>
                <w:bCs/>
                <w:color w:val="000000" w:themeColor="text1"/>
                <w:szCs w:val="21"/>
              </w:rPr>
            </w:pPr>
          </w:p>
        </w:tc>
        <w:tc>
          <w:tcPr>
            <w:tcW w:w="1701" w:type="dxa"/>
            <w:shd w:val="clear" w:color="auto" w:fill="auto"/>
            <w:vAlign w:val="center"/>
          </w:tcPr>
          <w:p w14:paraId="02C1FB86" w14:textId="77777777" w:rsidR="009D5758" w:rsidRPr="00601FD3" w:rsidRDefault="009D5758" w:rsidP="00B70306">
            <w:pPr>
              <w:jc w:val="center"/>
              <w:rPr>
                <w:rFonts w:ascii="Times New Roman" w:hAnsi="Times New Roman" w:cs="Times New Roman"/>
                <w:b/>
                <w:bCs/>
                <w:color w:val="000000" w:themeColor="text1"/>
                <w:szCs w:val="21"/>
              </w:rPr>
            </w:pPr>
          </w:p>
        </w:tc>
        <w:tc>
          <w:tcPr>
            <w:tcW w:w="1701" w:type="dxa"/>
            <w:shd w:val="clear" w:color="auto" w:fill="auto"/>
            <w:vAlign w:val="center"/>
          </w:tcPr>
          <w:p w14:paraId="66DAEB64" w14:textId="77777777" w:rsidR="009D5758" w:rsidRPr="00601FD3" w:rsidRDefault="009D5758" w:rsidP="00B70306">
            <w:pPr>
              <w:jc w:val="center"/>
              <w:rPr>
                <w:rFonts w:ascii="Times New Roman" w:hAnsi="Times New Roman" w:cs="Times New Roman"/>
                <w:b/>
                <w:bCs/>
                <w:color w:val="000000" w:themeColor="text1"/>
                <w:szCs w:val="21"/>
              </w:rPr>
            </w:pPr>
          </w:p>
        </w:tc>
      </w:tr>
      <w:tr w:rsidR="00601FD3" w:rsidRPr="00601FD3" w14:paraId="4593D2F3" w14:textId="77777777" w:rsidTr="00B70306">
        <w:trPr>
          <w:jc w:val="center"/>
        </w:trPr>
        <w:tc>
          <w:tcPr>
            <w:tcW w:w="0" w:type="auto"/>
          </w:tcPr>
          <w:p w14:paraId="4DE24973"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 xml:space="preserve">  Overweight</w:t>
            </w:r>
          </w:p>
        </w:tc>
        <w:tc>
          <w:tcPr>
            <w:tcW w:w="0" w:type="auto"/>
            <w:vAlign w:val="center"/>
          </w:tcPr>
          <w:p w14:paraId="7D2897EA"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2.10 (1.76-2.50)</w:t>
            </w:r>
          </w:p>
        </w:tc>
        <w:tc>
          <w:tcPr>
            <w:tcW w:w="0" w:type="auto"/>
            <w:vAlign w:val="center"/>
          </w:tcPr>
          <w:p w14:paraId="1958F5BB"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2.68 (2.15-3.34)</w:t>
            </w:r>
          </w:p>
        </w:tc>
        <w:tc>
          <w:tcPr>
            <w:tcW w:w="0" w:type="auto"/>
            <w:vAlign w:val="center"/>
          </w:tcPr>
          <w:p w14:paraId="04D7B505"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2.55 (1.88-3.46)</w:t>
            </w:r>
          </w:p>
        </w:tc>
        <w:tc>
          <w:tcPr>
            <w:tcW w:w="0" w:type="auto"/>
          </w:tcPr>
          <w:p w14:paraId="62482920"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vAlign w:val="center"/>
          </w:tcPr>
          <w:p w14:paraId="055EA631"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2.23 (1.73-2.89)</w:t>
            </w:r>
          </w:p>
        </w:tc>
        <w:tc>
          <w:tcPr>
            <w:tcW w:w="1701" w:type="dxa"/>
            <w:vAlign w:val="center"/>
          </w:tcPr>
          <w:p w14:paraId="1B1A590E"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4.01 (2.40-6.69)</w:t>
            </w:r>
          </w:p>
        </w:tc>
        <w:tc>
          <w:tcPr>
            <w:tcW w:w="1701" w:type="dxa"/>
            <w:vAlign w:val="center"/>
          </w:tcPr>
          <w:p w14:paraId="5CD72ADA"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2.90 (2.22-3.79)</w:t>
            </w:r>
          </w:p>
        </w:tc>
      </w:tr>
      <w:tr w:rsidR="00601FD3" w:rsidRPr="00601FD3" w14:paraId="001ADBAA" w14:textId="77777777" w:rsidTr="00B70306">
        <w:trPr>
          <w:jc w:val="center"/>
        </w:trPr>
        <w:tc>
          <w:tcPr>
            <w:tcW w:w="0" w:type="auto"/>
          </w:tcPr>
          <w:p w14:paraId="53108161"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 xml:space="preserve">  Obesity</w:t>
            </w:r>
          </w:p>
        </w:tc>
        <w:tc>
          <w:tcPr>
            <w:tcW w:w="0" w:type="auto"/>
            <w:shd w:val="clear" w:color="auto" w:fill="auto"/>
            <w:vAlign w:val="center"/>
          </w:tcPr>
          <w:p w14:paraId="3B403C8E"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3.31 (2.31-4.73)</w:t>
            </w:r>
          </w:p>
        </w:tc>
        <w:tc>
          <w:tcPr>
            <w:tcW w:w="0" w:type="auto"/>
            <w:shd w:val="clear" w:color="auto" w:fill="auto"/>
            <w:vAlign w:val="center"/>
          </w:tcPr>
          <w:p w14:paraId="2A5FF704"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5.17 (3.40-7.85)</w:t>
            </w:r>
          </w:p>
        </w:tc>
        <w:tc>
          <w:tcPr>
            <w:tcW w:w="0" w:type="auto"/>
            <w:shd w:val="clear" w:color="auto" w:fill="auto"/>
            <w:vAlign w:val="center"/>
          </w:tcPr>
          <w:p w14:paraId="3E942FB7"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6.69 (4.01-11.16)</w:t>
            </w:r>
          </w:p>
        </w:tc>
        <w:tc>
          <w:tcPr>
            <w:tcW w:w="0" w:type="auto"/>
          </w:tcPr>
          <w:p w14:paraId="55F76276"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vAlign w:val="center"/>
          </w:tcPr>
          <w:p w14:paraId="0E8920B0"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4.38 (2.70-7.12)</w:t>
            </w:r>
          </w:p>
        </w:tc>
        <w:tc>
          <w:tcPr>
            <w:tcW w:w="1701" w:type="dxa"/>
            <w:shd w:val="clear" w:color="auto" w:fill="auto"/>
            <w:vAlign w:val="center"/>
          </w:tcPr>
          <w:p w14:paraId="3DB7AEEB"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3.97 (1.62-9.70)</w:t>
            </w:r>
          </w:p>
        </w:tc>
        <w:tc>
          <w:tcPr>
            <w:tcW w:w="1701" w:type="dxa"/>
            <w:shd w:val="clear" w:color="auto" w:fill="auto"/>
            <w:vAlign w:val="center"/>
          </w:tcPr>
          <w:p w14:paraId="4ABE42F0"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7.08 (4.53-11.07)</w:t>
            </w:r>
          </w:p>
        </w:tc>
      </w:tr>
      <w:tr w:rsidR="00601FD3" w:rsidRPr="00601FD3" w14:paraId="2A44941B" w14:textId="77777777" w:rsidTr="00B70306">
        <w:trPr>
          <w:jc w:val="center"/>
        </w:trPr>
        <w:tc>
          <w:tcPr>
            <w:tcW w:w="0" w:type="auto"/>
          </w:tcPr>
          <w:p w14:paraId="2169C082" w14:textId="77777777" w:rsidR="009D5758" w:rsidRPr="00601FD3" w:rsidRDefault="009D5758" w:rsidP="00B70306">
            <w:pPr>
              <w:jc w:val="left"/>
              <w:rPr>
                <w:rFonts w:ascii="Times New Roman" w:hAnsi="Times New Roman" w:cs="Times New Roman"/>
                <w:b/>
                <w:bCs/>
                <w:i/>
                <w:iCs/>
                <w:color w:val="000000" w:themeColor="text1"/>
                <w:szCs w:val="21"/>
              </w:rPr>
            </w:pPr>
            <w:r w:rsidRPr="00601FD3">
              <w:rPr>
                <w:rFonts w:ascii="Times New Roman" w:hAnsi="Times New Roman" w:cs="Times New Roman"/>
                <w:b/>
                <w:bCs/>
                <w:i/>
                <w:iCs/>
                <w:color w:val="000000" w:themeColor="text1"/>
                <w:szCs w:val="21"/>
              </w:rPr>
              <w:t xml:space="preserve">  </w:t>
            </w:r>
            <w:r w:rsidRPr="00601FD3">
              <w:rPr>
                <w:rFonts w:ascii="Times New Roman" w:hAnsi="Times New Roman" w:cs="Times New Roman"/>
                <w:color w:val="000000" w:themeColor="text1"/>
                <w:szCs w:val="21"/>
              </w:rPr>
              <w:t>Excessive WC</w:t>
            </w:r>
          </w:p>
        </w:tc>
        <w:tc>
          <w:tcPr>
            <w:tcW w:w="0" w:type="auto"/>
            <w:shd w:val="clear" w:color="auto" w:fill="auto"/>
            <w:vAlign w:val="center"/>
          </w:tcPr>
          <w:p w14:paraId="710AF419"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2.02 (1.69-2.40)</w:t>
            </w:r>
          </w:p>
        </w:tc>
        <w:tc>
          <w:tcPr>
            <w:tcW w:w="0" w:type="auto"/>
            <w:shd w:val="clear" w:color="auto" w:fill="auto"/>
            <w:vAlign w:val="center"/>
          </w:tcPr>
          <w:p w14:paraId="4C434623"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2.93 (2.37-3.64)</w:t>
            </w:r>
          </w:p>
        </w:tc>
        <w:tc>
          <w:tcPr>
            <w:tcW w:w="0" w:type="auto"/>
            <w:shd w:val="clear" w:color="auto" w:fill="auto"/>
            <w:vAlign w:val="center"/>
          </w:tcPr>
          <w:p w14:paraId="4BE68BA6" w14:textId="77777777" w:rsidR="009D5758" w:rsidRPr="00601FD3" w:rsidRDefault="009D5758" w:rsidP="00B70306">
            <w:pPr>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3.31 (2.49-4.40)</w:t>
            </w:r>
          </w:p>
        </w:tc>
        <w:tc>
          <w:tcPr>
            <w:tcW w:w="0" w:type="auto"/>
          </w:tcPr>
          <w:p w14:paraId="66883E76"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vAlign w:val="center"/>
          </w:tcPr>
          <w:p w14:paraId="13D128EF"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2.48 (1.94-3.18)</w:t>
            </w:r>
          </w:p>
        </w:tc>
        <w:tc>
          <w:tcPr>
            <w:tcW w:w="1701" w:type="dxa"/>
            <w:shd w:val="clear" w:color="auto" w:fill="auto"/>
            <w:vAlign w:val="center"/>
          </w:tcPr>
          <w:p w14:paraId="5A1C1A29"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5.02 (3.07-8.20)</w:t>
            </w:r>
          </w:p>
        </w:tc>
        <w:tc>
          <w:tcPr>
            <w:tcW w:w="1701" w:type="dxa"/>
            <w:shd w:val="clear" w:color="auto" w:fill="auto"/>
            <w:vAlign w:val="center"/>
          </w:tcPr>
          <w:p w14:paraId="03247FB9"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3.46 (2.69-4.46)</w:t>
            </w:r>
          </w:p>
        </w:tc>
      </w:tr>
      <w:tr w:rsidR="00601FD3" w:rsidRPr="00601FD3" w14:paraId="3527A462" w14:textId="77777777" w:rsidTr="00B70306">
        <w:trPr>
          <w:jc w:val="center"/>
        </w:trPr>
        <w:tc>
          <w:tcPr>
            <w:tcW w:w="0" w:type="auto"/>
          </w:tcPr>
          <w:p w14:paraId="23F2969F"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b/>
                <w:bCs/>
                <w:i/>
                <w:iCs/>
                <w:color w:val="000000" w:themeColor="text1"/>
                <w:szCs w:val="21"/>
              </w:rPr>
              <w:t>Female(N=4558)</w:t>
            </w:r>
          </w:p>
        </w:tc>
        <w:tc>
          <w:tcPr>
            <w:tcW w:w="0" w:type="auto"/>
            <w:shd w:val="clear" w:color="auto" w:fill="auto"/>
            <w:vAlign w:val="center"/>
          </w:tcPr>
          <w:p w14:paraId="2C890ED4" w14:textId="77777777" w:rsidR="009D5758" w:rsidRPr="00601FD3" w:rsidRDefault="009D5758" w:rsidP="00B70306">
            <w:pPr>
              <w:jc w:val="center"/>
              <w:rPr>
                <w:rFonts w:ascii="Times New Roman" w:hAnsi="Times New Roman" w:cs="Times New Roman"/>
                <w:b/>
                <w:bCs/>
                <w:color w:val="000000" w:themeColor="text1"/>
                <w:szCs w:val="21"/>
              </w:rPr>
            </w:pPr>
          </w:p>
        </w:tc>
        <w:tc>
          <w:tcPr>
            <w:tcW w:w="0" w:type="auto"/>
            <w:shd w:val="clear" w:color="auto" w:fill="auto"/>
            <w:vAlign w:val="center"/>
          </w:tcPr>
          <w:p w14:paraId="210AB648" w14:textId="77777777" w:rsidR="009D5758" w:rsidRPr="00601FD3" w:rsidRDefault="009D5758" w:rsidP="00B70306">
            <w:pPr>
              <w:jc w:val="center"/>
              <w:rPr>
                <w:rFonts w:ascii="Times New Roman" w:hAnsi="Times New Roman" w:cs="Times New Roman"/>
                <w:b/>
                <w:bCs/>
                <w:color w:val="000000" w:themeColor="text1"/>
                <w:szCs w:val="21"/>
              </w:rPr>
            </w:pPr>
          </w:p>
        </w:tc>
        <w:tc>
          <w:tcPr>
            <w:tcW w:w="0" w:type="auto"/>
            <w:shd w:val="clear" w:color="auto" w:fill="auto"/>
            <w:vAlign w:val="center"/>
          </w:tcPr>
          <w:p w14:paraId="32FFA4C6" w14:textId="77777777" w:rsidR="009D5758" w:rsidRPr="00601FD3" w:rsidRDefault="009D5758" w:rsidP="00B70306">
            <w:pPr>
              <w:jc w:val="center"/>
              <w:rPr>
                <w:rFonts w:ascii="Times New Roman" w:hAnsi="Times New Roman" w:cs="Times New Roman"/>
                <w:b/>
                <w:bCs/>
                <w:color w:val="000000" w:themeColor="text1"/>
                <w:szCs w:val="21"/>
              </w:rPr>
            </w:pPr>
          </w:p>
        </w:tc>
        <w:tc>
          <w:tcPr>
            <w:tcW w:w="0" w:type="auto"/>
          </w:tcPr>
          <w:p w14:paraId="146117C0"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shd w:val="clear" w:color="auto" w:fill="auto"/>
            <w:vAlign w:val="center"/>
          </w:tcPr>
          <w:p w14:paraId="6BD8CFBA" w14:textId="77777777" w:rsidR="009D5758" w:rsidRPr="00601FD3" w:rsidRDefault="009D5758" w:rsidP="00B70306">
            <w:pPr>
              <w:jc w:val="center"/>
              <w:rPr>
                <w:rFonts w:ascii="Times New Roman" w:hAnsi="Times New Roman" w:cs="Times New Roman"/>
                <w:b/>
                <w:bCs/>
                <w:color w:val="000000" w:themeColor="text1"/>
                <w:szCs w:val="21"/>
              </w:rPr>
            </w:pPr>
          </w:p>
        </w:tc>
        <w:tc>
          <w:tcPr>
            <w:tcW w:w="1701" w:type="dxa"/>
            <w:shd w:val="clear" w:color="auto" w:fill="auto"/>
            <w:vAlign w:val="center"/>
          </w:tcPr>
          <w:p w14:paraId="77A60E80" w14:textId="77777777" w:rsidR="009D5758" w:rsidRPr="00601FD3" w:rsidRDefault="009D5758" w:rsidP="00B70306">
            <w:pPr>
              <w:jc w:val="center"/>
              <w:rPr>
                <w:rFonts w:ascii="Times New Roman" w:hAnsi="Times New Roman" w:cs="Times New Roman"/>
                <w:b/>
                <w:bCs/>
                <w:color w:val="000000" w:themeColor="text1"/>
                <w:szCs w:val="21"/>
              </w:rPr>
            </w:pPr>
          </w:p>
        </w:tc>
        <w:tc>
          <w:tcPr>
            <w:tcW w:w="1701" w:type="dxa"/>
            <w:shd w:val="clear" w:color="auto" w:fill="auto"/>
            <w:vAlign w:val="center"/>
          </w:tcPr>
          <w:p w14:paraId="38872F20" w14:textId="77777777" w:rsidR="009D5758" w:rsidRPr="00601FD3" w:rsidRDefault="009D5758" w:rsidP="00B70306">
            <w:pPr>
              <w:jc w:val="center"/>
              <w:rPr>
                <w:rFonts w:ascii="Times New Roman" w:hAnsi="Times New Roman" w:cs="Times New Roman"/>
                <w:b/>
                <w:bCs/>
                <w:color w:val="000000" w:themeColor="text1"/>
                <w:szCs w:val="21"/>
              </w:rPr>
            </w:pPr>
          </w:p>
        </w:tc>
      </w:tr>
      <w:tr w:rsidR="00601FD3" w:rsidRPr="00601FD3" w14:paraId="23F6FA7D" w14:textId="77777777" w:rsidTr="00B70306">
        <w:trPr>
          <w:jc w:val="center"/>
        </w:trPr>
        <w:tc>
          <w:tcPr>
            <w:tcW w:w="0" w:type="auto"/>
          </w:tcPr>
          <w:p w14:paraId="4CDA2190" w14:textId="77777777" w:rsidR="009D5758" w:rsidRPr="00601FD3" w:rsidRDefault="009D5758" w:rsidP="00B70306">
            <w:pPr>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 xml:space="preserve">  Overweight</w:t>
            </w:r>
          </w:p>
        </w:tc>
        <w:tc>
          <w:tcPr>
            <w:tcW w:w="0" w:type="auto"/>
            <w:vAlign w:val="center"/>
          </w:tcPr>
          <w:p w14:paraId="6746629C"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1.56 (1.34-1.81)</w:t>
            </w:r>
          </w:p>
        </w:tc>
        <w:tc>
          <w:tcPr>
            <w:tcW w:w="0" w:type="auto"/>
            <w:vAlign w:val="center"/>
          </w:tcPr>
          <w:p w14:paraId="1241D796"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1.86 (1.52-2.28)</w:t>
            </w:r>
          </w:p>
        </w:tc>
        <w:tc>
          <w:tcPr>
            <w:tcW w:w="0" w:type="auto"/>
            <w:vAlign w:val="center"/>
          </w:tcPr>
          <w:p w14:paraId="02F851F7"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1.85 (1.40-2.45)</w:t>
            </w:r>
          </w:p>
        </w:tc>
        <w:tc>
          <w:tcPr>
            <w:tcW w:w="0" w:type="auto"/>
          </w:tcPr>
          <w:p w14:paraId="0B6D1440"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vAlign w:val="center"/>
          </w:tcPr>
          <w:p w14:paraId="72AE9279"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1.66 (1.33-2.07)</w:t>
            </w:r>
          </w:p>
        </w:tc>
        <w:tc>
          <w:tcPr>
            <w:tcW w:w="1701" w:type="dxa"/>
            <w:vAlign w:val="center"/>
          </w:tcPr>
          <w:p w14:paraId="2E3617C5"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2.51 (1.46-4.31)</w:t>
            </w:r>
          </w:p>
        </w:tc>
        <w:tc>
          <w:tcPr>
            <w:tcW w:w="1701" w:type="dxa"/>
            <w:vAlign w:val="center"/>
          </w:tcPr>
          <w:p w14:paraId="6C3AB9CE"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2.24 (1.70-2.96)</w:t>
            </w:r>
          </w:p>
        </w:tc>
      </w:tr>
      <w:tr w:rsidR="00601FD3" w:rsidRPr="00601FD3" w14:paraId="7C8C5AE8" w14:textId="77777777" w:rsidTr="00B70306">
        <w:trPr>
          <w:jc w:val="center"/>
        </w:trPr>
        <w:tc>
          <w:tcPr>
            <w:tcW w:w="0" w:type="auto"/>
          </w:tcPr>
          <w:p w14:paraId="54F4618E" w14:textId="77777777" w:rsidR="009D5758" w:rsidRPr="00601FD3" w:rsidRDefault="009D5758" w:rsidP="00B70306">
            <w:pPr>
              <w:ind w:firstLineChars="100" w:firstLine="210"/>
              <w:jc w:val="left"/>
              <w:rPr>
                <w:rFonts w:ascii="Times New Roman" w:hAnsi="Times New Roman" w:cs="Times New Roman"/>
                <w:b/>
                <w:bCs/>
                <w:i/>
                <w:iCs/>
                <w:color w:val="000000" w:themeColor="text1"/>
                <w:szCs w:val="21"/>
              </w:rPr>
            </w:pPr>
            <w:r w:rsidRPr="00601FD3">
              <w:rPr>
                <w:rFonts w:ascii="Times New Roman" w:hAnsi="Times New Roman" w:cs="Times New Roman"/>
                <w:color w:val="000000" w:themeColor="text1"/>
                <w:szCs w:val="21"/>
              </w:rPr>
              <w:t>Obesity</w:t>
            </w:r>
          </w:p>
        </w:tc>
        <w:tc>
          <w:tcPr>
            <w:tcW w:w="0" w:type="auto"/>
            <w:vAlign w:val="center"/>
          </w:tcPr>
          <w:p w14:paraId="3E4F5DC0"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2.46 (1.92-3.14)</w:t>
            </w:r>
          </w:p>
        </w:tc>
        <w:tc>
          <w:tcPr>
            <w:tcW w:w="0" w:type="auto"/>
            <w:vAlign w:val="center"/>
          </w:tcPr>
          <w:p w14:paraId="05CC6E70"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3.66 (2.70-4.96)</w:t>
            </w:r>
          </w:p>
        </w:tc>
        <w:tc>
          <w:tcPr>
            <w:tcW w:w="0" w:type="auto"/>
            <w:vAlign w:val="center"/>
          </w:tcPr>
          <w:p w14:paraId="0EB57071"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3.77 (2.51-5.66)</w:t>
            </w:r>
          </w:p>
        </w:tc>
        <w:tc>
          <w:tcPr>
            <w:tcW w:w="0" w:type="auto"/>
          </w:tcPr>
          <w:p w14:paraId="61A769E7"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vAlign w:val="center"/>
          </w:tcPr>
          <w:p w14:paraId="6E96AE5D"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2.73 (1.92-3.88)</w:t>
            </w:r>
          </w:p>
        </w:tc>
        <w:tc>
          <w:tcPr>
            <w:tcW w:w="1701" w:type="dxa"/>
            <w:vAlign w:val="center"/>
          </w:tcPr>
          <w:p w14:paraId="25AC11C2"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4.15 (2.00-8.59)</w:t>
            </w:r>
          </w:p>
        </w:tc>
        <w:tc>
          <w:tcPr>
            <w:tcW w:w="1701" w:type="dxa"/>
            <w:vAlign w:val="center"/>
          </w:tcPr>
          <w:p w14:paraId="55320F93"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5.79 (4.05-8.27)</w:t>
            </w:r>
          </w:p>
        </w:tc>
      </w:tr>
      <w:tr w:rsidR="00601FD3" w:rsidRPr="00601FD3" w14:paraId="2E4C0A2F" w14:textId="77777777" w:rsidTr="00B70306">
        <w:trPr>
          <w:jc w:val="center"/>
        </w:trPr>
        <w:tc>
          <w:tcPr>
            <w:tcW w:w="0" w:type="auto"/>
            <w:tcBorders>
              <w:bottom w:val="single" w:sz="4" w:space="0" w:color="auto"/>
            </w:tcBorders>
          </w:tcPr>
          <w:p w14:paraId="2F8874B0" w14:textId="77777777" w:rsidR="009D5758" w:rsidRPr="00601FD3" w:rsidRDefault="009D5758" w:rsidP="00B70306">
            <w:pPr>
              <w:ind w:firstLineChars="100" w:firstLine="210"/>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Excessive WC</w:t>
            </w:r>
          </w:p>
        </w:tc>
        <w:tc>
          <w:tcPr>
            <w:tcW w:w="0" w:type="auto"/>
            <w:tcBorders>
              <w:bottom w:val="single" w:sz="4" w:space="0" w:color="auto"/>
            </w:tcBorders>
            <w:vAlign w:val="center"/>
          </w:tcPr>
          <w:p w14:paraId="20F147E6"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1.67 (1.45-1.92)</w:t>
            </w:r>
          </w:p>
        </w:tc>
        <w:tc>
          <w:tcPr>
            <w:tcW w:w="0" w:type="auto"/>
            <w:tcBorders>
              <w:bottom w:val="single" w:sz="4" w:space="0" w:color="auto"/>
            </w:tcBorders>
            <w:vAlign w:val="center"/>
          </w:tcPr>
          <w:p w14:paraId="636012BA"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2.19 (1.83-2.63)</w:t>
            </w:r>
          </w:p>
        </w:tc>
        <w:tc>
          <w:tcPr>
            <w:tcW w:w="0" w:type="auto"/>
            <w:tcBorders>
              <w:bottom w:val="single" w:sz="4" w:space="0" w:color="auto"/>
            </w:tcBorders>
            <w:vAlign w:val="center"/>
          </w:tcPr>
          <w:p w14:paraId="77BB510B"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2.56 (1.99-3.29)</w:t>
            </w:r>
          </w:p>
        </w:tc>
        <w:tc>
          <w:tcPr>
            <w:tcW w:w="0" w:type="auto"/>
            <w:tcBorders>
              <w:bottom w:val="single" w:sz="4" w:space="0" w:color="auto"/>
            </w:tcBorders>
          </w:tcPr>
          <w:p w14:paraId="68210D47" w14:textId="77777777" w:rsidR="009D5758" w:rsidRPr="00601FD3" w:rsidRDefault="009D5758" w:rsidP="00B70306">
            <w:pPr>
              <w:jc w:val="center"/>
              <w:rPr>
                <w:rFonts w:ascii="Times New Roman" w:hAnsi="Times New Roman" w:cs="Times New Roman"/>
                <w:b/>
                <w:bCs/>
                <w:color w:val="000000" w:themeColor="text1"/>
                <w:szCs w:val="21"/>
              </w:rPr>
            </w:pPr>
          </w:p>
        </w:tc>
        <w:tc>
          <w:tcPr>
            <w:tcW w:w="1597" w:type="dxa"/>
            <w:tcBorders>
              <w:bottom w:val="single" w:sz="4" w:space="0" w:color="auto"/>
            </w:tcBorders>
            <w:vAlign w:val="center"/>
          </w:tcPr>
          <w:p w14:paraId="5707476A"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1.97 (1.62-2.40)</w:t>
            </w:r>
          </w:p>
        </w:tc>
        <w:tc>
          <w:tcPr>
            <w:tcW w:w="1701" w:type="dxa"/>
            <w:tcBorders>
              <w:bottom w:val="single" w:sz="4" w:space="0" w:color="auto"/>
            </w:tcBorders>
            <w:vAlign w:val="center"/>
          </w:tcPr>
          <w:p w14:paraId="4D4B998E"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2.64 (1.60-4.35)</w:t>
            </w:r>
          </w:p>
        </w:tc>
        <w:tc>
          <w:tcPr>
            <w:tcW w:w="1701" w:type="dxa"/>
            <w:tcBorders>
              <w:bottom w:val="single" w:sz="4" w:space="0" w:color="auto"/>
            </w:tcBorders>
            <w:vAlign w:val="center"/>
          </w:tcPr>
          <w:p w14:paraId="684EB393" w14:textId="77777777" w:rsidR="009D5758" w:rsidRPr="00601FD3" w:rsidRDefault="009D5758" w:rsidP="00B70306">
            <w:pPr>
              <w:widowControl/>
              <w:jc w:val="center"/>
              <w:rPr>
                <w:rFonts w:ascii="Times New Roman" w:hAnsi="Times New Roman" w:cs="Times New Roman"/>
                <w:b/>
                <w:bCs/>
                <w:color w:val="000000" w:themeColor="text1"/>
                <w:szCs w:val="21"/>
              </w:rPr>
            </w:pPr>
            <w:r w:rsidRPr="00601FD3">
              <w:rPr>
                <w:rFonts w:ascii="Times New Roman" w:hAnsi="Times New Roman" w:cs="Times New Roman"/>
                <w:b/>
                <w:bCs/>
                <w:color w:val="000000" w:themeColor="text1"/>
                <w:szCs w:val="21"/>
              </w:rPr>
              <w:t>3.05 (2.37-3.93)</w:t>
            </w:r>
          </w:p>
        </w:tc>
      </w:tr>
    </w:tbl>
    <w:p w14:paraId="70E17AC7" w14:textId="78DE5E08" w:rsidR="009D5758" w:rsidRPr="00601FD3" w:rsidRDefault="009D5758" w:rsidP="00850AEA">
      <w:pPr>
        <w:jc w:val="left"/>
        <w:rPr>
          <w:rFonts w:ascii="Times New Roman" w:hAnsi="Times New Roman" w:cs="Times New Roman"/>
          <w:color w:val="000000" w:themeColor="text1"/>
          <w:szCs w:val="21"/>
        </w:rPr>
      </w:pPr>
      <w:r w:rsidRPr="00601FD3">
        <w:rPr>
          <w:rFonts w:ascii="Times New Roman" w:hAnsi="Times New Roman" w:cs="Times New Roman"/>
          <w:color w:val="000000" w:themeColor="text1"/>
          <w:szCs w:val="21"/>
        </w:rPr>
        <w:t>Note: WC, Waist circumstance. ISH, Isolated systolic hypertension, IDH, Isolated diastolic hypertension, SDH, Systolic diastolic hypertension. OR, odds ratio. CI, confidence interval. OR values were conducted by general logistic model, adjusting for age, gender, residence, education</w:t>
      </w:r>
      <w:r w:rsidR="0050536C" w:rsidRPr="00601FD3">
        <w:rPr>
          <w:rFonts w:ascii="Times New Roman" w:hAnsi="Times New Roman" w:cs="Times New Roman"/>
          <w:color w:val="000000" w:themeColor="text1"/>
          <w:szCs w:val="21"/>
        </w:rPr>
        <w:t>al level</w:t>
      </w:r>
      <w:r w:rsidRPr="00601FD3">
        <w:rPr>
          <w:rFonts w:ascii="Times New Roman" w:hAnsi="Times New Roman" w:cs="Times New Roman"/>
          <w:color w:val="000000" w:themeColor="text1"/>
          <w:szCs w:val="21"/>
        </w:rPr>
        <w:t>, economic status, smoking history, alcohol.</w:t>
      </w:r>
    </w:p>
    <w:p w14:paraId="4C0E816B" w14:textId="77777777" w:rsidR="00CE68D4" w:rsidRPr="00601FD3" w:rsidRDefault="00CE68D4">
      <w:pPr>
        <w:rPr>
          <w:rFonts w:ascii="Times New Roman" w:hAnsi="Times New Roman" w:cs="Times New Roman"/>
          <w:color w:val="000000" w:themeColor="text1"/>
        </w:rPr>
      </w:pPr>
    </w:p>
    <w:sectPr w:rsidR="00CE68D4" w:rsidRPr="00601FD3" w:rsidSect="00850AEA">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761E" w14:textId="77777777" w:rsidR="00295F06" w:rsidRDefault="00295F06" w:rsidP="0048612B">
      <w:r>
        <w:separator/>
      </w:r>
    </w:p>
  </w:endnote>
  <w:endnote w:type="continuationSeparator" w:id="0">
    <w:p w14:paraId="029BF102" w14:textId="77777777" w:rsidR="00295F06" w:rsidRDefault="00295F06" w:rsidP="0048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75E9" w14:textId="77777777" w:rsidR="00295F06" w:rsidRDefault="00295F06" w:rsidP="0048612B">
      <w:r>
        <w:separator/>
      </w:r>
    </w:p>
  </w:footnote>
  <w:footnote w:type="continuationSeparator" w:id="0">
    <w:p w14:paraId="570B8B52" w14:textId="77777777" w:rsidR="00295F06" w:rsidRDefault="00295F06" w:rsidP="0048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58"/>
    <w:rsid w:val="00057BBF"/>
    <w:rsid w:val="00061B06"/>
    <w:rsid w:val="00175459"/>
    <w:rsid w:val="00276F91"/>
    <w:rsid w:val="00295F06"/>
    <w:rsid w:val="0048612B"/>
    <w:rsid w:val="004C7ED9"/>
    <w:rsid w:val="00500FFF"/>
    <w:rsid w:val="0050536C"/>
    <w:rsid w:val="00511BDD"/>
    <w:rsid w:val="005B6FD7"/>
    <w:rsid w:val="00601FD3"/>
    <w:rsid w:val="0067061F"/>
    <w:rsid w:val="00704378"/>
    <w:rsid w:val="00832DB4"/>
    <w:rsid w:val="00850AEA"/>
    <w:rsid w:val="009D5758"/>
    <w:rsid w:val="00AF454D"/>
    <w:rsid w:val="00B071FA"/>
    <w:rsid w:val="00CE68D4"/>
    <w:rsid w:val="00EA4590"/>
    <w:rsid w:val="00F82781"/>
    <w:rsid w:val="00FD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884B"/>
  <w15:chartTrackingRefBased/>
  <w15:docId w15:val="{AB3905DB-CA85-4695-93E5-74E6EE4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75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58"/>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D5758"/>
    <w:rPr>
      <w:sz w:val="21"/>
      <w:szCs w:val="21"/>
    </w:rPr>
  </w:style>
  <w:style w:type="paragraph" w:styleId="a5">
    <w:name w:val="annotation text"/>
    <w:basedOn w:val="a"/>
    <w:link w:val="Char"/>
    <w:uiPriority w:val="99"/>
    <w:unhideWhenUsed/>
    <w:rsid w:val="009D5758"/>
    <w:pPr>
      <w:jc w:val="left"/>
    </w:pPr>
  </w:style>
  <w:style w:type="character" w:customStyle="1" w:styleId="Char">
    <w:name w:val="메모 텍스트 Char"/>
    <w:basedOn w:val="a0"/>
    <w:link w:val="a5"/>
    <w:uiPriority w:val="99"/>
    <w:rsid w:val="009D5758"/>
    <w:rPr>
      <w14:ligatures w14:val="none"/>
    </w:rPr>
  </w:style>
  <w:style w:type="paragraph" w:styleId="a6">
    <w:name w:val="header"/>
    <w:basedOn w:val="a"/>
    <w:link w:val="Char0"/>
    <w:uiPriority w:val="99"/>
    <w:unhideWhenUsed/>
    <w:rsid w:val="0048612B"/>
    <w:pPr>
      <w:tabs>
        <w:tab w:val="center" w:pos="4153"/>
        <w:tab w:val="right" w:pos="8306"/>
      </w:tabs>
      <w:snapToGrid w:val="0"/>
      <w:jc w:val="center"/>
    </w:pPr>
    <w:rPr>
      <w:sz w:val="18"/>
      <w:szCs w:val="18"/>
    </w:rPr>
  </w:style>
  <w:style w:type="character" w:customStyle="1" w:styleId="Char0">
    <w:name w:val="머리글 Char"/>
    <w:basedOn w:val="a0"/>
    <w:link w:val="a6"/>
    <w:uiPriority w:val="99"/>
    <w:rsid w:val="0048612B"/>
    <w:rPr>
      <w:sz w:val="18"/>
      <w:szCs w:val="18"/>
      <w14:ligatures w14:val="none"/>
    </w:rPr>
  </w:style>
  <w:style w:type="paragraph" w:styleId="a7">
    <w:name w:val="footer"/>
    <w:basedOn w:val="a"/>
    <w:link w:val="Char1"/>
    <w:uiPriority w:val="99"/>
    <w:unhideWhenUsed/>
    <w:rsid w:val="0048612B"/>
    <w:pPr>
      <w:tabs>
        <w:tab w:val="center" w:pos="4153"/>
        <w:tab w:val="right" w:pos="8306"/>
      </w:tabs>
      <w:snapToGrid w:val="0"/>
      <w:jc w:val="left"/>
    </w:pPr>
    <w:rPr>
      <w:sz w:val="18"/>
      <w:szCs w:val="18"/>
    </w:rPr>
  </w:style>
  <w:style w:type="character" w:customStyle="1" w:styleId="Char1">
    <w:name w:val="바닥글 Char"/>
    <w:basedOn w:val="a0"/>
    <w:link w:val="a7"/>
    <w:uiPriority w:val="99"/>
    <w:rsid w:val="0048612B"/>
    <w:rPr>
      <w:sz w:val="18"/>
      <w:szCs w:val="18"/>
      <w14:ligatures w14:val="none"/>
    </w:rPr>
  </w:style>
  <w:style w:type="paragraph" w:styleId="a8">
    <w:name w:val="Normal (Web)"/>
    <w:basedOn w:val="a"/>
    <w:uiPriority w:val="99"/>
    <w:semiHidden/>
    <w:unhideWhenUsed/>
    <w:rsid w:val="00B071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072">
      <w:bodyDiv w:val="1"/>
      <w:marLeft w:val="0"/>
      <w:marRight w:val="0"/>
      <w:marTop w:val="0"/>
      <w:marBottom w:val="0"/>
      <w:divBdr>
        <w:top w:val="none" w:sz="0" w:space="0" w:color="auto"/>
        <w:left w:val="none" w:sz="0" w:space="0" w:color="auto"/>
        <w:bottom w:val="none" w:sz="0" w:space="0" w:color="auto"/>
        <w:right w:val="none" w:sz="0" w:space="0" w:color="auto"/>
      </w:divBdr>
      <w:divsChild>
        <w:div w:id="599143034">
          <w:marLeft w:val="0"/>
          <w:marRight w:val="0"/>
          <w:marTop w:val="0"/>
          <w:marBottom w:val="0"/>
          <w:divBdr>
            <w:top w:val="none" w:sz="0" w:space="0" w:color="auto"/>
            <w:left w:val="none" w:sz="0" w:space="0" w:color="auto"/>
            <w:bottom w:val="none" w:sz="0" w:space="0" w:color="auto"/>
            <w:right w:val="none" w:sz="0" w:space="0" w:color="auto"/>
          </w:divBdr>
          <w:divsChild>
            <w:div w:id="1662155382">
              <w:marLeft w:val="0"/>
              <w:marRight w:val="0"/>
              <w:marTop w:val="0"/>
              <w:marBottom w:val="0"/>
              <w:divBdr>
                <w:top w:val="none" w:sz="0" w:space="0" w:color="auto"/>
                <w:left w:val="none" w:sz="0" w:space="0" w:color="auto"/>
                <w:bottom w:val="none" w:sz="0" w:space="0" w:color="auto"/>
                <w:right w:val="none" w:sz="0" w:space="0" w:color="auto"/>
              </w:divBdr>
              <w:divsChild>
                <w:div w:id="204294789">
                  <w:marLeft w:val="0"/>
                  <w:marRight w:val="0"/>
                  <w:marTop w:val="0"/>
                  <w:marBottom w:val="0"/>
                  <w:divBdr>
                    <w:top w:val="none" w:sz="0" w:space="0" w:color="auto"/>
                    <w:left w:val="none" w:sz="0" w:space="0" w:color="auto"/>
                    <w:bottom w:val="none" w:sz="0" w:space="0" w:color="auto"/>
                    <w:right w:val="none" w:sz="0" w:space="0" w:color="auto"/>
                  </w:divBdr>
                  <w:divsChild>
                    <w:div w:id="4281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0791">
      <w:bodyDiv w:val="1"/>
      <w:marLeft w:val="0"/>
      <w:marRight w:val="0"/>
      <w:marTop w:val="0"/>
      <w:marBottom w:val="0"/>
      <w:divBdr>
        <w:top w:val="none" w:sz="0" w:space="0" w:color="auto"/>
        <w:left w:val="none" w:sz="0" w:space="0" w:color="auto"/>
        <w:bottom w:val="none" w:sz="0" w:space="0" w:color="auto"/>
        <w:right w:val="none" w:sz="0" w:space="0" w:color="auto"/>
      </w:divBdr>
      <w:divsChild>
        <w:div w:id="287517646">
          <w:marLeft w:val="0"/>
          <w:marRight w:val="0"/>
          <w:marTop w:val="0"/>
          <w:marBottom w:val="0"/>
          <w:divBdr>
            <w:top w:val="none" w:sz="0" w:space="0" w:color="auto"/>
            <w:left w:val="none" w:sz="0" w:space="0" w:color="auto"/>
            <w:bottom w:val="none" w:sz="0" w:space="0" w:color="auto"/>
            <w:right w:val="none" w:sz="0" w:space="0" w:color="auto"/>
          </w:divBdr>
          <w:divsChild>
            <w:div w:id="600600791">
              <w:marLeft w:val="0"/>
              <w:marRight w:val="0"/>
              <w:marTop w:val="0"/>
              <w:marBottom w:val="0"/>
              <w:divBdr>
                <w:top w:val="none" w:sz="0" w:space="0" w:color="auto"/>
                <w:left w:val="none" w:sz="0" w:space="0" w:color="auto"/>
                <w:bottom w:val="none" w:sz="0" w:space="0" w:color="auto"/>
                <w:right w:val="none" w:sz="0" w:space="0" w:color="auto"/>
              </w:divBdr>
              <w:divsChild>
                <w:div w:id="238030076">
                  <w:marLeft w:val="0"/>
                  <w:marRight w:val="0"/>
                  <w:marTop w:val="0"/>
                  <w:marBottom w:val="0"/>
                  <w:divBdr>
                    <w:top w:val="none" w:sz="0" w:space="0" w:color="auto"/>
                    <w:left w:val="none" w:sz="0" w:space="0" w:color="auto"/>
                    <w:bottom w:val="none" w:sz="0" w:space="0" w:color="auto"/>
                    <w:right w:val="none" w:sz="0" w:space="0" w:color="auto"/>
                  </w:divBdr>
                  <w:divsChild>
                    <w:div w:id="14611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6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1750">
          <w:marLeft w:val="0"/>
          <w:marRight w:val="0"/>
          <w:marTop w:val="0"/>
          <w:marBottom w:val="0"/>
          <w:divBdr>
            <w:top w:val="none" w:sz="0" w:space="0" w:color="auto"/>
            <w:left w:val="none" w:sz="0" w:space="0" w:color="auto"/>
            <w:bottom w:val="none" w:sz="0" w:space="0" w:color="auto"/>
            <w:right w:val="none" w:sz="0" w:space="0" w:color="auto"/>
          </w:divBdr>
          <w:divsChild>
            <w:div w:id="354431261">
              <w:marLeft w:val="0"/>
              <w:marRight w:val="0"/>
              <w:marTop w:val="0"/>
              <w:marBottom w:val="0"/>
              <w:divBdr>
                <w:top w:val="none" w:sz="0" w:space="0" w:color="auto"/>
                <w:left w:val="none" w:sz="0" w:space="0" w:color="auto"/>
                <w:bottom w:val="none" w:sz="0" w:space="0" w:color="auto"/>
                <w:right w:val="none" w:sz="0" w:space="0" w:color="auto"/>
              </w:divBdr>
              <w:divsChild>
                <w:div w:id="1743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2250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楼</dc:creator>
  <cp:keywords/>
  <dc:description/>
  <cp:lastModifiedBy>이제인</cp:lastModifiedBy>
  <cp:revision>2</cp:revision>
  <dcterms:created xsi:type="dcterms:W3CDTF">2023-09-07T06:30:00Z</dcterms:created>
  <dcterms:modified xsi:type="dcterms:W3CDTF">2023-09-07T06:30:00Z</dcterms:modified>
</cp:coreProperties>
</file>