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4F" w:rsidRPr="00BD1020" w:rsidRDefault="0066104F" w:rsidP="00D5113D">
      <w:pPr>
        <w:pStyle w:val="a7"/>
        <w:keepNext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20">
        <w:rPr>
          <w:rFonts w:ascii="Times New Roman" w:eastAsia="맑은 고딕" w:hAnsi="Times New Roman" w:cs="Times New Roman"/>
          <w:sz w:val="24"/>
          <w:szCs w:val="24"/>
        </w:rPr>
        <w:t xml:space="preserve">Supplementary </w:t>
      </w:r>
      <w:bookmarkStart w:id="0" w:name="_GoBack"/>
      <w:r w:rsidRPr="00BD1020">
        <w:rPr>
          <w:rFonts w:ascii="Times New Roman" w:eastAsia="맑은 고딕" w:hAnsi="Times New Roman" w:cs="Times New Roman"/>
          <w:sz w:val="24"/>
          <w:szCs w:val="24"/>
        </w:rPr>
        <w:t>Table S</w:t>
      </w:r>
      <w:r w:rsidRPr="00BD1020">
        <w:rPr>
          <w:rFonts w:ascii="Times New Roman" w:eastAsia="맑은 고딕" w:hAnsi="Times New Roman" w:cs="Times New Roman"/>
          <w:sz w:val="24"/>
          <w:szCs w:val="24"/>
        </w:rPr>
        <w:fldChar w:fldCharType="begin"/>
      </w:r>
      <w:r w:rsidRPr="00BD1020">
        <w:rPr>
          <w:rFonts w:ascii="Times New Roman" w:eastAsia="맑은 고딕" w:hAnsi="Times New Roman" w:cs="Times New Roman"/>
          <w:sz w:val="24"/>
          <w:szCs w:val="24"/>
        </w:rPr>
        <w:instrText xml:space="preserve"> SEQ Table \* ARABIC </w:instrText>
      </w:r>
      <w:r w:rsidRPr="00BD1020">
        <w:rPr>
          <w:rFonts w:ascii="Times New Roman" w:eastAsia="맑은 고딕" w:hAnsi="Times New Roman" w:cs="Times New Roman"/>
          <w:sz w:val="24"/>
          <w:szCs w:val="24"/>
        </w:rPr>
        <w:fldChar w:fldCharType="separate"/>
      </w:r>
      <w:r w:rsidRPr="00BD1020">
        <w:rPr>
          <w:rFonts w:ascii="Times New Roman" w:eastAsia="맑은 고딕" w:hAnsi="Times New Roman" w:cs="Times New Roman"/>
          <w:sz w:val="24"/>
          <w:szCs w:val="24"/>
        </w:rPr>
        <w:t>1</w:t>
      </w:r>
      <w:r w:rsidRPr="00BD1020">
        <w:rPr>
          <w:rFonts w:ascii="Times New Roman" w:eastAsia="맑은 고딕" w:hAnsi="Times New Roman" w:cs="Times New Roman"/>
          <w:sz w:val="24"/>
          <w:szCs w:val="24"/>
        </w:rPr>
        <w:fldChar w:fldCharType="end"/>
      </w:r>
      <w:r w:rsidRPr="00BD1020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D5113D" w:rsidRPr="00BD1020">
        <w:rPr>
          <w:rFonts w:ascii="Times New Roman" w:eastAsia="맑은 고딕" w:hAnsi="Times New Roman" w:cs="Times New Roman"/>
          <w:sz w:val="24"/>
          <w:szCs w:val="24"/>
        </w:rPr>
        <w:t>Definition of avoidable, treatable, and preventable deaths jointly developed by the OECD/Eurostat</w:t>
      </w:r>
      <w:bookmarkEnd w:id="0"/>
      <w:r w:rsidR="00D5113D" w:rsidRPr="00BD102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BD1020" w:rsidRPr="00BD1020">
        <w:rPr>
          <w:rFonts w:ascii="Times New Roman" w:eastAsia="맑은 고딕" w:hAnsi="Times New Roman" w:cs="Times New Roman"/>
          <w:sz w:val="24"/>
          <w:szCs w:val="24"/>
        </w:rPr>
        <w:fldChar w:fldCharType="begin"/>
      </w:r>
      <w:r w:rsidR="00BD1020" w:rsidRPr="00BD1020">
        <w:rPr>
          <w:rFonts w:ascii="Times New Roman" w:eastAsia="맑은 고딕" w:hAnsi="Times New Roman" w:cs="Times New Roman"/>
          <w:sz w:val="24"/>
          <w:szCs w:val="24"/>
        </w:rPr>
        <w:instrText xml:space="preserve"> ADDIN EN.CITE &lt;EndNote&gt;&lt;Cite&gt;&lt;Author&gt;OECD&lt;/Author&gt;&lt;Year&gt;2021&lt;/Year&gt;&lt;RecNum&gt;1544&lt;/RecNum&gt;&lt;DisplayText&gt;[1]&lt;/DisplayText&gt;&lt;record&gt;&lt;rec-number&gt;1544&lt;/rec-number&gt;&lt;foreign-keys&gt;&lt;key app="EN" db-id="pzws0zwdp020s7e0tf2xwsxnz2f2etaz00xt" timestamp="1649119046"&gt;1544&lt;/key&gt;&lt;/foreign-keys&gt;&lt;ref-type name="Web Page"&gt;12&lt;/ref-type&gt;&lt;contributors&gt;&lt;authors&gt;&lt;author&gt;OECD&lt;/author&gt;&lt;author&gt;Eurostat,&lt;/author&gt;&lt;/authors&gt;&lt;/contributors&gt;&lt;titles&gt;&lt;title&gt;Avoidable mortality: OECD/Eurostat lists of preventable and treatable causes of death&lt;/title&gt;&lt;/titles&gt;&lt;volume&gt;2022&lt;/volume&gt;&lt;number&gt;January 5&lt;/number&gt;&lt;dates&gt;&lt;year&gt;2021&lt;/year&gt;&lt;/dates&gt;&lt;pub-location&gt;Paris&lt;/pub-location&gt;&lt;publisher&gt;OECD&lt;/publisher&gt;&lt;urls&gt;&lt;related-urls&gt;&lt;url&gt;https://www.oecd.org/health/health-systems/Avoidable-mortality-2019-Joint-OECD-Eurostat-List-preventable-treatable-causes-of-death.pdf&lt;/url&gt;&lt;/related-urls&gt;&lt;/urls&gt;&lt;/record&gt;&lt;/Cite&gt;&lt;/EndNote&gt;</w:instrText>
      </w:r>
      <w:r w:rsidR="00BD1020" w:rsidRPr="00BD1020">
        <w:rPr>
          <w:rFonts w:ascii="Times New Roman" w:eastAsia="맑은 고딕" w:hAnsi="Times New Roman" w:cs="Times New Roman"/>
          <w:sz w:val="24"/>
          <w:szCs w:val="24"/>
        </w:rPr>
        <w:fldChar w:fldCharType="separate"/>
      </w:r>
      <w:r w:rsidR="00BD1020" w:rsidRPr="00BD1020">
        <w:rPr>
          <w:rFonts w:ascii="Times New Roman" w:eastAsia="맑은 고딕" w:hAnsi="Times New Roman" w:cs="Times New Roman"/>
          <w:noProof/>
          <w:sz w:val="24"/>
          <w:szCs w:val="24"/>
        </w:rPr>
        <w:t>[1]</w:t>
      </w:r>
      <w:r w:rsidR="00BD1020" w:rsidRPr="00BD1020">
        <w:rPr>
          <w:rFonts w:ascii="Times New Roman" w:eastAsia="맑은 고딕" w:hAnsi="Times New Roman" w:cs="Times New Roman"/>
          <w:sz w:val="24"/>
          <w:szCs w:val="24"/>
        </w:rPr>
        <w:fldChar w:fldCharType="end"/>
      </w:r>
    </w:p>
    <w:tbl>
      <w:tblPr>
        <w:tblW w:w="4922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1"/>
        <w:gridCol w:w="2373"/>
        <w:gridCol w:w="3773"/>
        <w:gridCol w:w="1254"/>
        <w:gridCol w:w="1254"/>
        <w:gridCol w:w="3158"/>
      </w:tblGrid>
      <w:tr w:rsidR="00382865" w:rsidRPr="00BD1020" w:rsidTr="00382865">
        <w:trPr>
          <w:trHeight w:val="27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Causes of deaths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Preventable mortality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Treatable mortality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D509B" w:rsidRPr="00BD1020" w:rsidRDefault="0066104F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ICD-10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</w:t>
            </w:r>
            <w:r w:rsidR="009D509B"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ode</w:t>
            </w:r>
            <w:proofErr w:type="spellEnd"/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Infectious diseases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Intestinal diseases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A00-A09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Diphtheria, tetanus, poliomyelitis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A35, A36, A80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Whooping cough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Meningococcal infection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Sepsis due to streptococcus pneumonia and sepsis due to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haemophilus</w:t>
            </w:r>
            <w:proofErr w:type="spell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influenza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A40.3, , A41.3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Haemophilus</w:t>
            </w:r>
            <w:proofErr w:type="spell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influenza infections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A49.2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Sexually transmitted infections (except HIV/AIDS)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A50-A60, A63, A64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Varicella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B01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Measles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B05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Rubella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B06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Viral Hepatitis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B15-B19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HIV/AIDS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B20-B24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Malaria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B50-B54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Haemophilus</w:t>
            </w:r>
            <w:proofErr w:type="spell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pneumococcal meningitis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G00.0, G00.1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Tuberculosis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A15-A19, B90, J65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Scarlet fever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A38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Sepsis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0470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A40 (excl. A40.3), A41 (excl. A41.3)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Cellulitis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A46, L03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Legionnaires disease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A48.1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Streptococcal and enterococci infection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A49.1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meningitis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G00.2, G00.3, G00.8,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G00.9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Meningitis due to other and unspecified causes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G03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COVID-19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U07.1- U07.2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Cancer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Lip, oral cavity and pharynx cancer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C00-C14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Esophageal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C15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C16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C22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C33-C34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Mesothelioma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C45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Skin (melanoma)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C43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C67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Cervical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C53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C18-C21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 cancer (female only)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C50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Uterus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C54,C55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Testicular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C62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Thyroid cancer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C73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Hodgkin's disease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C81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Lymphoid leukemia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C91.0, C91.1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Benign neoplasm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D10-D36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Endocrine and metabolic diseases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Nutritional deficiency anemia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D50-D53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E10-E14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Thyroid disorders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E00-E07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Adrenal disorders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E24-E25 (except E24.4),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E27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Diseases of the nervous system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Epilepsy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G40,G41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Diseases of the circulatory system</w:t>
            </w:r>
          </w:p>
        </w:tc>
        <w:tc>
          <w:tcPr>
            <w:tcW w:w="88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Aortic aneurysm</w:t>
            </w:r>
          </w:p>
        </w:tc>
        <w:tc>
          <w:tcPr>
            <w:tcW w:w="13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I71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Hypertensive diseases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I10-I13, I15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Ischemic heart diseases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I20-I25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Cerebrovascular diseases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I60-I69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atherosclerosis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  <w:proofErr w:type="gram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(50%)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I70, I73.9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Rheumatic and other heart disease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I00-I09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Venous thromboembolism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I26, I80, I82.9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Diseases of the respiratory system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Influenza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J09-J11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Pneumonia due to Streptococcus pneumonia or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Haemophilus</w:t>
            </w:r>
            <w:proofErr w:type="spell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influenza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J13-J14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Chronic lower respiratory diseases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J40-J44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 diseases due to external agents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J60-J64, J66-J70, J82,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J92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Upper respiratory infections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J00-J06, J30-J39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Pneumonia, not elsewhere classified or organism unspecified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J12, J15, J16- J18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Acute lower respiratory infections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J20-J22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Asthma and bronchiectasis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J45-J47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Adult respiratory distress syndrome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J80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Pulmonary edema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J81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Abscess of lung and mediastinum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pyothorax</w:t>
            </w:r>
            <w:proofErr w:type="spellEnd"/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J85, J86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pleural disorders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J90, J93, J94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Diseases of the digestive system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Gastric and duodenal ulcer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K25-K28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Appendicitis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K35-K38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Abdominal hernia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K40-K46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Cholelithiasis</w:t>
            </w:r>
            <w:proofErr w:type="spellEnd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cholecystitis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K80-K81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diseases of gallbladder or biliary tract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K82-K83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Acute pancreatitis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K85.0,1,3,8,9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diseases of pancreas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K86.1,2,3,8,9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Diseases of the genitourinary system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Nephritis and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nephrosis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N00-N07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Obstructive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uropathy</w:t>
            </w:r>
            <w:proofErr w:type="spellEnd"/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N13,N20-N21, N35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failure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N17-N19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top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Renal colic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N23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Disorders resulting from renal tubular dysfunction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N25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Unspecified contracted kidney, small kidney of unknown cause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N26-N27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Inflammatory diseases of genitourinary system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N34.1,N70- N73,N75.0,N75.1,N76.4,6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Prostatic hyperplasia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N40</w:t>
            </w:r>
          </w:p>
        </w:tc>
      </w:tr>
      <w:tr w:rsidR="00A21FA6" w:rsidRPr="00BD1020" w:rsidTr="00777998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Pregnancy, childbirth and perinatal period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Tetanus </w:t>
            </w:r>
            <w:proofErr w:type="spellStart"/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neonatorum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A33</w:t>
            </w:r>
          </w:p>
        </w:tc>
      </w:tr>
      <w:tr w:rsidR="00A21FA6" w:rsidRPr="00BD1020" w:rsidTr="00777998">
        <w:trPr>
          <w:trHeight w:val="270"/>
        </w:trPr>
        <w:tc>
          <w:tcPr>
            <w:tcW w:w="620" w:type="pct"/>
            <w:vMerge/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Obstetrical tetanus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A34</w:t>
            </w:r>
          </w:p>
        </w:tc>
      </w:tr>
      <w:tr w:rsidR="00A21FA6" w:rsidRPr="00BD1020" w:rsidTr="00777998">
        <w:trPr>
          <w:trHeight w:val="270"/>
        </w:trPr>
        <w:tc>
          <w:tcPr>
            <w:tcW w:w="620" w:type="pct"/>
            <w:vMerge/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Pregnancy, childbirth and the puerperium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O00-O99</w:t>
            </w:r>
          </w:p>
        </w:tc>
      </w:tr>
      <w:tr w:rsidR="00A21FA6" w:rsidRPr="00BD1020" w:rsidTr="00777998">
        <w:trPr>
          <w:trHeight w:val="270"/>
        </w:trPr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Certain conditions originating in the perinatal period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21FA6" w:rsidRPr="00BD1020" w:rsidRDefault="00A21FA6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P00-P96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Congenital malformations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Certain congenital malformations (neural tube defects)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Q00, Q01, Q05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Congenital malformations of the circulatory system (heart defects)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Q20-Q28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Adverse effects of medical and surgical care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Drugs, medicaments and biological substances causing adverse effects in therapeutic use</w:t>
            </w: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Y40-Y59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Misadventures to patients during surgical and medical care</w:t>
            </w: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Y60-Y69,Y83-Y84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Medical devices associated with adverse incidents in diagnostic and therapeutic use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Y70–Y82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Injuries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Transport accidents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V01-V99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Accidental injuries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W00-X39, X46-X59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Intentional self-harm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X66-X84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Event of undetermined intent</w:t>
            </w:r>
          </w:p>
        </w:tc>
        <w:tc>
          <w:tcPr>
            <w:tcW w:w="465" w:type="pct"/>
            <w:tcBorders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bottom w:val="nil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Y16-Y34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Assault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X86-Y09</w:t>
            </w:r>
          </w:p>
        </w:tc>
      </w:tr>
      <w:tr w:rsidR="00382865" w:rsidRPr="00BD1020" w:rsidTr="00A21FA6">
        <w:trPr>
          <w:trHeight w:val="270"/>
        </w:trPr>
        <w:tc>
          <w:tcPr>
            <w:tcW w:w="6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Alcohol- related and drug-related deaths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Alcohol-related deaths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Alcohol- specific disorders and poisonings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E24.4, F10, G31.2,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G62.1, G72.1, I42.6,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K29.2, K70, K85.2,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K86.0, Q86.0, R78.0,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X45, X65, Y15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99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 alcohol-related disorders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K73, K74.0-K74.2, K74.6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vMerge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Drug-related deaths</w:t>
            </w:r>
          </w:p>
        </w:tc>
        <w:tc>
          <w:tcPr>
            <w:tcW w:w="1399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Drug disorders and poisonings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382865" w:rsidRPr="00BD1020" w:rsidRDefault="00382865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382865" w:rsidRPr="00BD1020" w:rsidRDefault="00382865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F11-F16, F18-F19, X40- X44, X85, Y10-Y14</w:t>
            </w:r>
          </w:p>
        </w:tc>
      </w:tr>
      <w:tr w:rsidR="00382865" w:rsidRPr="00BD1020" w:rsidTr="00382865">
        <w:trPr>
          <w:trHeight w:val="270"/>
        </w:trPr>
        <w:tc>
          <w:tcPr>
            <w:tcW w:w="620" w:type="pct"/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99" w:type="pct"/>
            <w:shd w:val="clear" w:color="auto" w:fill="auto"/>
            <w:noWrap/>
            <w:hideMark/>
          </w:tcPr>
          <w:p w:rsidR="009D509B" w:rsidRPr="00BD1020" w:rsidRDefault="009D509B" w:rsidP="003828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Intentional self-poisoning</w:t>
            </w:r>
            <w:r w:rsidR="00382865"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by drugs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9D509B" w:rsidRPr="00BD1020" w:rsidRDefault="009D509B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9D509B" w:rsidRPr="00BD1020" w:rsidRDefault="009D509B" w:rsidP="003828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1" w:type="pct"/>
            <w:shd w:val="clear" w:color="auto" w:fill="auto"/>
            <w:noWrap/>
            <w:hideMark/>
          </w:tcPr>
          <w:p w:rsidR="009D509B" w:rsidRPr="00BD1020" w:rsidRDefault="009D509B" w:rsidP="008D4A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X60-X64</w:t>
            </w:r>
          </w:p>
        </w:tc>
      </w:tr>
    </w:tbl>
    <w:p w:rsidR="00B22A58" w:rsidRPr="00BD1020" w:rsidRDefault="00A21FA6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</w:rPr>
      </w:pPr>
      <w:r w:rsidRPr="00BD1020">
        <w:rPr>
          <w:rFonts w:ascii="Times New Roman" w:eastAsia="맑은 고딕" w:hAnsi="Times New Roman" w:cs="Times New Roman"/>
          <w:sz w:val="24"/>
        </w:rPr>
        <w:t>Age threshold: 0-74 years old</w:t>
      </w:r>
    </w:p>
    <w:p w:rsidR="009D509B" w:rsidRPr="00BD1020" w:rsidRDefault="009D509B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</w:rPr>
      </w:pPr>
    </w:p>
    <w:p w:rsidR="00B22A58" w:rsidRPr="00BD1020" w:rsidRDefault="00B22A58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</w:rPr>
        <w:sectPr w:rsidR="00B22A58" w:rsidRPr="00BD1020" w:rsidSect="00A07D42">
          <w:footerReference w:type="default" r:id="rId6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013E4B" w:rsidRPr="00BD1020" w:rsidRDefault="00013E4B" w:rsidP="007427F4">
      <w:pPr>
        <w:pStyle w:val="a7"/>
        <w:keepNext/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20">
        <w:rPr>
          <w:rFonts w:ascii="Times New Roman" w:eastAsia="맑은 고딕" w:hAnsi="Times New Roman" w:cs="Times New Roman"/>
          <w:sz w:val="24"/>
        </w:rPr>
        <w:lastRenderedPageBreak/>
        <w:t>Table S</w:t>
      </w:r>
      <w:r w:rsidRPr="00BD1020">
        <w:rPr>
          <w:rFonts w:ascii="Times New Roman" w:eastAsia="맑은 고딕" w:hAnsi="Times New Roman" w:cs="Times New Roman"/>
          <w:sz w:val="24"/>
        </w:rPr>
        <w:fldChar w:fldCharType="begin"/>
      </w:r>
      <w:r w:rsidRPr="00BD1020">
        <w:rPr>
          <w:rFonts w:ascii="Times New Roman" w:eastAsia="맑은 고딕" w:hAnsi="Times New Roman" w:cs="Times New Roman"/>
          <w:sz w:val="24"/>
        </w:rPr>
        <w:instrText xml:space="preserve"> SEQ Table \* ARABIC </w:instrText>
      </w:r>
      <w:r w:rsidRPr="00BD1020">
        <w:rPr>
          <w:rFonts w:ascii="Times New Roman" w:eastAsia="맑은 고딕" w:hAnsi="Times New Roman" w:cs="Times New Roman"/>
          <w:sz w:val="24"/>
        </w:rPr>
        <w:fldChar w:fldCharType="separate"/>
      </w:r>
      <w:r w:rsidR="0066104F" w:rsidRPr="00BD1020">
        <w:rPr>
          <w:rFonts w:ascii="Times New Roman" w:eastAsia="맑은 고딕" w:hAnsi="Times New Roman" w:cs="Times New Roman"/>
          <w:noProof/>
          <w:sz w:val="24"/>
        </w:rPr>
        <w:t>2</w:t>
      </w:r>
      <w:r w:rsidRPr="00BD1020">
        <w:rPr>
          <w:rFonts w:ascii="Times New Roman" w:eastAsia="맑은 고딕" w:hAnsi="Times New Roman" w:cs="Times New Roman"/>
          <w:sz w:val="24"/>
        </w:rPr>
        <w:fldChar w:fldCharType="end"/>
      </w:r>
      <w:r w:rsidR="007427F4" w:rsidRPr="00BD1020">
        <w:rPr>
          <w:rFonts w:ascii="Times New Roman" w:eastAsia="맑은 고딕" w:hAnsi="Times New Roman" w:cs="Times New Roman"/>
          <w:sz w:val="24"/>
        </w:rPr>
        <w:t xml:space="preserve">. </w:t>
      </w:r>
      <w:r w:rsidRPr="00BD1020">
        <w:rPr>
          <w:rFonts w:ascii="Times New Roman" w:eastAsia="맑은 고딕" w:hAnsi="Times New Roman" w:cs="Times New Roman"/>
          <w:sz w:val="24"/>
          <w:szCs w:val="24"/>
        </w:rPr>
        <w:t>Changes in age-standardized mortality rates from avoidable, treatable, and preventable causes before and after 2009 by sex</w:t>
      </w:r>
      <w:r w:rsidR="00C758C5" w:rsidRPr="00BD1020">
        <w:rPr>
          <w:rFonts w:ascii="Times New Roman" w:eastAsia="맑은 고딕" w:hAnsi="Times New Roman" w:cs="Times New Roman"/>
          <w:sz w:val="24"/>
          <w:szCs w:val="24"/>
        </w:rPr>
        <w:t xml:space="preserve"> and region in South Korea</w:t>
      </w:r>
    </w:p>
    <w:tbl>
      <w:tblPr>
        <w:tblW w:w="4918" w:type="pct"/>
        <w:tblBorders>
          <w:top w:val="single" w:sz="8" w:space="0" w:color="auto"/>
          <w:bottom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932"/>
        <w:gridCol w:w="1239"/>
        <w:gridCol w:w="1547"/>
        <w:gridCol w:w="1242"/>
        <w:gridCol w:w="1547"/>
        <w:gridCol w:w="1242"/>
        <w:gridCol w:w="1547"/>
        <w:gridCol w:w="1239"/>
        <w:gridCol w:w="1547"/>
      </w:tblGrid>
      <w:tr w:rsidR="007274DE" w:rsidRPr="00BD1020" w:rsidTr="007274DE">
        <w:trPr>
          <w:trHeight w:val="213"/>
        </w:trPr>
        <w:tc>
          <w:tcPr>
            <w:tcW w:w="51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Mortality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Nationwide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Seoul Capital Area</w:t>
            </w:r>
          </w:p>
        </w:tc>
        <w:tc>
          <w:tcPr>
            <w:tcW w:w="1035" w:type="pct"/>
            <w:gridSpan w:val="2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Non-Seoul-Capital metropolitan area</w:t>
            </w:r>
          </w:p>
        </w:tc>
        <w:tc>
          <w:tcPr>
            <w:tcW w:w="1034" w:type="pct"/>
            <w:gridSpan w:val="2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Non-Seoul-Capital non-metropolitan area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Periods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percent change (95% CI)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Periods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percent change (95% CI)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Periods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percent change (95% CI)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Periods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Annual percent change (95% CI)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Avoidable mortality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(-5.6, -3.9)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-4.9 (-6.1, -3.8)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 (-5.3, -3.7)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(-5.6, -3.8)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 (-4.9, -4.1)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-4.2 (-4.8, -3.7)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-4.6 (-5.0, -4.2)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(-4.9, -4.6)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-4.9 (-5.6, -4.2)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(-5.9, -4.0)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 (-5.5, -3.4)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-4.9 (-6.0, -3.8)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(-4.9, -4.7)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-4.4 (-4.5, -4.2)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(-5.1, -4.2)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(-5.2, -4.9)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-5.2 (-6.6, -3.9)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 (-6.7, -4.1)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 (-5.5, -5.3)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-5.1 (-6.7, -3.4)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-4.6 (-5.3, -3.8)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-4.4 (-5.3, -3.5)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(-5.3, -4.3)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-4.9 (-5.1, -4.7)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Treatable mortality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-6.1 (-6.3, -5.9)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-6.5 (-7.6, -5.4)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-5.7 (-6.0, -5.4)</w:t>
            </w: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-5.7 (-6.0, -5.3)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-3.7 (-3.9, -3.6)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-3.6 (-3.8, -3.5)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-4.3 (-4.5, -4.1)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-3.5 (-3.7, -3.2)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-6.2 (-6.4, -5.9)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-6.9 (-7.2, -6.6)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-5.7 (-6.1, -5.4)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 (-6.1, -5.2)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-3.7 (-3.8, -3.5)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-3.5 (-3.7, -3.3)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-4.3 (-4.5, -4.0)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-3.7 (-4.0, -3.5)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-6.3 (-6.6, -5.9)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-6.8 (-7.2, -6.3)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-5.9 (-6.1, -5.7)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-5.9 (-6.4, -5.5)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-4.0 (-4.3, -3.8)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-4.1 (-4.4, -3.8)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(-5.4, -4.1)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-3.7 (-4.0, -3.4)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Preventable mortality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-4.3 (-4.9, -3.7)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(-4.8, -4.5)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-4.1 (-5.3, -2.8)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-4.3 (-5.6, -3.1)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vMerge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(-5.2, -4.8)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(-4.8, -4.5)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(-5.1, -4.8)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-5.3 (-5.5, -5.0)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 (-5.1, -3.9)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-4.4 (-5.4, -3.4)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-4.2 (-4.9, -3.4)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-4.6 (-5.9, -3.4)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-5.1 (-5.3, -5.0)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-4.7 (-4.9, -4.4)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(-5.2, -4.9)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 (-5.8, -5.3)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-4.9 (-5.7, -4.0)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 (-5.6, -5.2)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(-5.8, -3.9)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2001-2009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 (-5.6, -5.1)</w:t>
            </w:r>
          </w:p>
        </w:tc>
      </w:tr>
      <w:tr w:rsidR="00AA681D" w:rsidRPr="00BD1020" w:rsidTr="007274DE">
        <w:trPr>
          <w:trHeight w:val="213"/>
        </w:trPr>
        <w:tc>
          <w:tcPr>
            <w:tcW w:w="51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-5.0 (-5.6, -4.4)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-4.6 (-5.8, -3.4)</w:t>
            </w:r>
          </w:p>
        </w:tc>
        <w:tc>
          <w:tcPr>
            <w:tcW w:w="461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 (-6.1, -3.5)</w:t>
            </w:r>
          </w:p>
        </w:tc>
        <w:tc>
          <w:tcPr>
            <w:tcW w:w="460" w:type="pct"/>
            <w:shd w:val="clear" w:color="auto" w:fill="auto"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2009-2020</w:t>
            </w:r>
          </w:p>
        </w:tc>
        <w:tc>
          <w:tcPr>
            <w:tcW w:w="574" w:type="pct"/>
            <w:shd w:val="clear" w:color="auto" w:fill="auto"/>
            <w:noWrap/>
            <w:hideMark/>
          </w:tcPr>
          <w:p w:rsidR="00AA681D" w:rsidRPr="00BD1020" w:rsidRDefault="00AA681D" w:rsidP="00AA681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 (-5.6, -5.1)</w:t>
            </w:r>
          </w:p>
        </w:tc>
      </w:tr>
    </w:tbl>
    <w:p w:rsidR="007274DE" w:rsidRPr="00BD1020" w:rsidRDefault="00107483" w:rsidP="007274DE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1020">
        <w:rPr>
          <w:rFonts w:ascii="Times New Roman" w:hAnsi="Times New Roman" w:cs="Times New Roman"/>
          <w:sz w:val="24"/>
          <w:szCs w:val="24"/>
        </w:rPr>
        <w:t>Abbreviations: CI, confidence interval</w:t>
      </w:r>
      <w:r w:rsidR="007274DE" w:rsidRPr="00BD1020">
        <w:rPr>
          <w:rFonts w:ascii="Times New Roman" w:hAnsi="Times New Roman" w:cs="Times New Roman"/>
          <w:sz w:val="24"/>
          <w:szCs w:val="24"/>
        </w:rPr>
        <w:t>.</w:t>
      </w:r>
    </w:p>
    <w:p w:rsidR="000744B4" w:rsidRPr="00BD1020" w:rsidRDefault="000744B4" w:rsidP="00751F0B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</w:rPr>
      </w:pPr>
    </w:p>
    <w:p w:rsidR="00A07D42" w:rsidRPr="00BD1020" w:rsidRDefault="00A07D42" w:rsidP="00751F0B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</w:rPr>
        <w:sectPr w:rsidR="00A07D42" w:rsidRPr="00BD1020" w:rsidSect="00A07D42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121174" w:rsidRPr="00BD1020" w:rsidRDefault="00E66EB4" w:rsidP="007427F4">
      <w:pPr>
        <w:pStyle w:val="a7"/>
        <w:keepNext/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20">
        <w:rPr>
          <w:rFonts w:ascii="Times New Roman" w:eastAsia="맑은 고딕" w:hAnsi="Times New Roman" w:cs="Times New Roman"/>
          <w:sz w:val="24"/>
        </w:rPr>
        <w:lastRenderedPageBreak/>
        <w:t>Table S</w:t>
      </w:r>
      <w:r w:rsidRPr="00BD1020">
        <w:rPr>
          <w:rFonts w:ascii="Times New Roman" w:eastAsia="맑은 고딕" w:hAnsi="Times New Roman" w:cs="Times New Roman"/>
          <w:sz w:val="24"/>
        </w:rPr>
        <w:fldChar w:fldCharType="begin"/>
      </w:r>
      <w:r w:rsidRPr="00BD1020">
        <w:rPr>
          <w:rFonts w:ascii="Times New Roman" w:eastAsia="맑은 고딕" w:hAnsi="Times New Roman" w:cs="Times New Roman"/>
          <w:sz w:val="24"/>
        </w:rPr>
        <w:instrText xml:space="preserve"> SEQ Table \* ARABIC </w:instrText>
      </w:r>
      <w:r w:rsidRPr="00BD1020">
        <w:rPr>
          <w:rFonts w:ascii="Times New Roman" w:eastAsia="맑은 고딕" w:hAnsi="Times New Roman" w:cs="Times New Roman"/>
          <w:sz w:val="24"/>
        </w:rPr>
        <w:fldChar w:fldCharType="separate"/>
      </w:r>
      <w:r w:rsidR="0066104F" w:rsidRPr="00BD1020">
        <w:rPr>
          <w:rFonts w:ascii="Times New Roman" w:eastAsia="맑은 고딕" w:hAnsi="Times New Roman" w:cs="Times New Roman"/>
          <w:noProof/>
          <w:sz w:val="24"/>
        </w:rPr>
        <w:t>3</w:t>
      </w:r>
      <w:r w:rsidRPr="00BD1020">
        <w:rPr>
          <w:rFonts w:ascii="Times New Roman" w:eastAsia="맑은 고딕" w:hAnsi="Times New Roman" w:cs="Times New Roman"/>
          <w:sz w:val="24"/>
        </w:rPr>
        <w:fldChar w:fldCharType="end"/>
      </w:r>
      <w:r w:rsidR="007427F4" w:rsidRPr="00BD1020">
        <w:rPr>
          <w:rFonts w:ascii="Times New Roman" w:eastAsia="맑은 고딕" w:hAnsi="Times New Roman" w:cs="Times New Roman"/>
          <w:sz w:val="24"/>
        </w:rPr>
        <w:t xml:space="preserve">. </w:t>
      </w:r>
      <w:r w:rsidR="00292524" w:rsidRPr="00BD1020">
        <w:rPr>
          <w:rFonts w:ascii="Times New Roman" w:eastAsia="맑은 고딕" w:hAnsi="Times New Roman" w:cs="Times New Roman"/>
          <w:sz w:val="24"/>
          <w:szCs w:val="24"/>
        </w:rPr>
        <w:t>Correlation coefficients between the Gini coefficient</w:t>
      </w:r>
      <w:r w:rsidR="00A94F2C" w:rsidRPr="00BD1020">
        <w:rPr>
          <w:rFonts w:ascii="Times New Roman" w:eastAsia="맑은 고딕" w:hAnsi="Times New Roman" w:cs="Times New Roman"/>
          <w:sz w:val="24"/>
          <w:szCs w:val="24"/>
        </w:rPr>
        <w:t>s</w:t>
      </w:r>
      <w:r w:rsidR="00292524" w:rsidRPr="00BD102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297E0C" w:rsidRPr="00BD1020">
        <w:rPr>
          <w:rFonts w:ascii="Times New Roman" w:eastAsia="맑은 고딕" w:hAnsi="Times New Roman" w:cs="Times New Roman"/>
          <w:sz w:val="24"/>
          <w:szCs w:val="24"/>
        </w:rPr>
        <w:t>of</w:t>
      </w:r>
      <w:r w:rsidR="00292524" w:rsidRPr="00BD102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BB2B29" w:rsidRPr="00BD1020">
        <w:rPr>
          <w:rFonts w:ascii="Times New Roman" w:eastAsia="맑은 고딕" w:hAnsi="Times New Roman" w:cs="Times New Roman"/>
          <w:sz w:val="24"/>
          <w:szCs w:val="24"/>
        </w:rPr>
        <w:t xml:space="preserve">regional </w:t>
      </w:r>
      <w:r w:rsidR="00292524" w:rsidRPr="00BD1020">
        <w:rPr>
          <w:rFonts w:ascii="Times New Roman" w:eastAsia="맑은 고딕" w:hAnsi="Times New Roman" w:cs="Times New Roman"/>
          <w:sz w:val="24"/>
          <w:szCs w:val="24"/>
        </w:rPr>
        <w:t xml:space="preserve">gross </w:t>
      </w:r>
      <w:r w:rsidR="00A94F2C" w:rsidRPr="00BD1020">
        <w:rPr>
          <w:rFonts w:ascii="Times New Roman" w:eastAsia="맑은 고딕" w:hAnsi="Times New Roman" w:cs="Times New Roman"/>
          <w:sz w:val="24"/>
          <w:szCs w:val="24"/>
        </w:rPr>
        <w:t>disp</w:t>
      </w:r>
      <w:r w:rsidR="00E42BD5" w:rsidRPr="00BD1020">
        <w:rPr>
          <w:rFonts w:ascii="Times New Roman" w:eastAsia="맑은 고딕" w:hAnsi="Times New Roman" w:cs="Times New Roman"/>
          <w:sz w:val="24"/>
          <w:szCs w:val="24"/>
        </w:rPr>
        <w:t>osable income per capita</w:t>
      </w:r>
      <w:r w:rsidR="00A94F2C" w:rsidRPr="00BD1020">
        <w:rPr>
          <w:rFonts w:ascii="Times New Roman" w:eastAsia="맑은 고딕" w:hAnsi="Times New Roman" w:cs="Times New Roman"/>
          <w:sz w:val="24"/>
          <w:szCs w:val="24"/>
        </w:rPr>
        <w:t xml:space="preserve"> and disparities in avoidable, treatable, and preventable mortalities </w:t>
      </w:r>
      <w:r w:rsidR="000074C6" w:rsidRPr="00BD1020">
        <w:rPr>
          <w:rFonts w:ascii="Times New Roman" w:eastAsia="맑은 고딕" w:hAnsi="Times New Roman" w:cs="Times New Roman"/>
          <w:sz w:val="24"/>
          <w:szCs w:val="24"/>
        </w:rPr>
        <w:t>across</w:t>
      </w:r>
      <w:r w:rsidR="00A94F2C" w:rsidRPr="00BD1020">
        <w:rPr>
          <w:rFonts w:ascii="Times New Roman" w:eastAsia="맑은 고딕" w:hAnsi="Times New Roman" w:cs="Times New Roman"/>
          <w:sz w:val="24"/>
          <w:szCs w:val="24"/>
        </w:rPr>
        <w:t xml:space="preserve"> areas</w:t>
      </w:r>
      <w:r w:rsidR="00B5034C" w:rsidRPr="00BD1020">
        <w:rPr>
          <w:rFonts w:ascii="Times New Roman" w:eastAsia="맑은 고딕" w:hAnsi="Times New Roman" w:cs="Times New Roman"/>
          <w:sz w:val="24"/>
          <w:szCs w:val="24"/>
        </w:rPr>
        <w:t xml:space="preserve"> in South Korea</w:t>
      </w:r>
      <w:r w:rsidR="00453B2F" w:rsidRPr="00BD1020">
        <w:rPr>
          <w:rFonts w:ascii="Times New Roman" w:eastAsia="맑은 고딕" w:hAnsi="Times New Roman" w:cs="Times New Roman"/>
          <w:sz w:val="24"/>
          <w:szCs w:val="24"/>
        </w:rPr>
        <w:t>, 2001-2020</w:t>
      </w:r>
    </w:p>
    <w:tbl>
      <w:tblPr>
        <w:tblW w:w="8786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970"/>
        <w:gridCol w:w="970"/>
        <w:gridCol w:w="948"/>
        <w:gridCol w:w="948"/>
        <w:gridCol w:w="948"/>
        <w:gridCol w:w="948"/>
        <w:gridCol w:w="948"/>
        <w:gridCol w:w="949"/>
      </w:tblGrid>
      <w:tr w:rsidR="00337145" w:rsidRPr="00BD1020" w:rsidTr="0038286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굴림" w:hAnsi="Times New Roman" w:cs="Times New Roman"/>
                <w:kern w:val="0"/>
                <w:szCs w:val="20"/>
              </w:rPr>
              <w:t>Mortality</w:t>
            </w:r>
          </w:p>
        </w:tc>
        <w:tc>
          <w:tcPr>
            <w:tcW w:w="1940" w:type="dxa"/>
            <w:gridSpan w:val="2"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hAnsi="Times New Roman" w:cs="Times New Roman"/>
                <w:kern w:val="0"/>
                <w:szCs w:val="20"/>
              </w:rPr>
              <w:t>Disparity measure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Men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Women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337145" w:rsidRPr="00BD1020" w:rsidRDefault="00337145" w:rsidP="0033714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Pearson correlation coefficient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Spearman correlation coefficient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Pearson correlation coefficient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Spearman correlation coefficient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Pearson correlation coefficient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Spearman correlation coefficient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Avoidable mortality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Absolute measure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RD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0.711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0.689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0.711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0.720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0.681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0.611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vMerge/>
            <w:tcBorders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BGV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0.653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0.656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eACI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0.709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0.632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SII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0.711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0.678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0.632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Relative measure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RR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0.599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0.549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0.741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-0.119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-0.217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vMerge/>
            <w:tcBorders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IDisp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0.520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0.454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0.663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0.600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0.040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-0.135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MLD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0.578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0.535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0.663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-0.058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-0.168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T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0.578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0.535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0.729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0.663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-0.063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-0.171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eRCI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0.607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0.546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0.736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-0.064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-0.185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RII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0.575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0.540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0.730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0.639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-0.099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-0.238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KMI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0.568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0.540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0.726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0.639</w:t>
            </w: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-0.106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-0.238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Treatable mortality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Absolute measure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RD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0.509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0.537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0.595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0.562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0.290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0.221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vMerge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vMerge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BGV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0.423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0.403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0.563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0.579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0.187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0.059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eACI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0.112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0.062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0.501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0.462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-0.284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-0.388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SII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0.096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0.032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0.489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0.462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-0.291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-0.392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Relative measure</w:t>
            </w: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RR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-0.085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-0.044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0.111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0.018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-0.328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-0.356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vMerge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IDisp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-0.203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0.042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-0.080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-0.328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-0.421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MLD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-0.172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-0.209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0.047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-0.114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-0.334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-0.477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T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-0.171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-0.209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0.048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-0.114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-0.334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-0.477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eRCI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-0.383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-0.411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-0.170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-0.495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-0.550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RII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-0.388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-0.417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-0.178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-0.498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-0.550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KMI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-0.383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-0.417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-0.166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-0.164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-0.492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-0.550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Preventable mortality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Absolute measure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RD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0.694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0.699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0.695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0.687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0.667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0.632</w:t>
            </w:r>
          </w:p>
        </w:tc>
      </w:tr>
      <w:tr w:rsidR="006C2F8F" w:rsidRPr="00BD1020" w:rsidTr="00382865">
        <w:trPr>
          <w:trHeight w:val="245"/>
        </w:trPr>
        <w:tc>
          <w:tcPr>
            <w:tcW w:w="1157" w:type="dxa"/>
            <w:vMerge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vMerge/>
            <w:tcBorders>
              <w:bottom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BGV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0.666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0.695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0.664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0.687</w:t>
            </w:r>
          </w:p>
        </w:tc>
        <w:tc>
          <w:tcPr>
            <w:tcW w:w="9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0.639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0.650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eACI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0.692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0.690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0.693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0.687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0.666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0.632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SII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0.693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0.701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0.667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0.632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Relative measure</w:t>
            </w: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RR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0.730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0.678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0.750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0.426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0.278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vMerge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IDisp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0.649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0.618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0.692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0.654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0.390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0.314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MLD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0.749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0.403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0.301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T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0.750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0.401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0.301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eRCI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0.678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0.745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0.689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0.439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0.287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RII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0.720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0.745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0.410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0.283</w:t>
            </w:r>
          </w:p>
        </w:tc>
      </w:tr>
      <w:tr w:rsidR="006C2F8F" w:rsidRPr="00BD1020" w:rsidTr="00337145">
        <w:trPr>
          <w:trHeight w:val="245"/>
        </w:trPr>
        <w:tc>
          <w:tcPr>
            <w:tcW w:w="1157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KMI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0.719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0.665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0.746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0.704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0.400</w:t>
            </w:r>
          </w:p>
        </w:tc>
        <w:tc>
          <w:tcPr>
            <w:tcW w:w="949" w:type="dxa"/>
            <w:shd w:val="clear" w:color="auto" w:fill="auto"/>
            <w:noWrap/>
            <w:hideMark/>
          </w:tcPr>
          <w:p w:rsidR="006C2F8F" w:rsidRPr="00BD1020" w:rsidRDefault="006C2F8F" w:rsidP="006C2F8F">
            <w:pPr>
              <w:widowControl/>
              <w:wordWrap/>
              <w:autoSpaceDE/>
              <w:autoSpaceDN/>
              <w:spacing w:after="0" w:line="240" w:lineRule="auto"/>
              <w:ind w:rightChars="150" w:right="300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D1020">
              <w:rPr>
                <w:rFonts w:ascii="Times New Roman" w:eastAsia="맑은 고딕" w:hAnsi="Times New Roman" w:cs="Times New Roman"/>
                <w:kern w:val="0"/>
                <w:szCs w:val="20"/>
              </w:rPr>
              <w:t>0.283</w:t>
            </w:r>
          </w:p>
        </w:tc>
      </w:tr>
    </w:tbl>
    <w:p w:rsidR="00BD1020" w:rsidRPr="00BD1020" w:rsidRDefault="0041627C" w:rsidP="00BE42B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020">
        <w:rPr>
          <w:rFonts w:ascii="Times New Roman" w:hAnsi="Times New Roman" w:cs="Times New Roman"/>
          <w:sz w:val="24"/>
          <w:szCs w:val="24"/>
        </w:rPr>
        <w:t xml:space="preserve">Correlation coefficients in bolds are statistically significant at </w:t>
      </w:r>
      <w:r w:rsidR="00DE5526" w:rsidRPr="00BD1020">
        <w:rPr>
          <w:rFonts w:ascii="Times New Roman" w:hAnsi="Times New Roman" w:cs="Times New Roman"/>
          <w:sz w:val="24"/>
          <w:szCs w:val="24"/>
        </w:rPr>
        <w:t xml:space="preserve">p </w:t>
      </w:r>
      <w:r w:rsidRPr="00BD1020">
        <w:rPr>
          <w:rFonts w:ascii="Times New Roman" w:hAnsi="Times New Roman" w:cs="Times New Roman"/>
          <w:sz w:val="24"/>
          <w:szCs w:val="24"/>
        </w:rPr>
        <w:t>&lt;0.05.</w:t>
      </w:r>
      <w:r w:rsidR="009A46D1" w:rsidRPr="00BD1020">
        <w:rPr>
          <w:rFonts w:ascii="Times New Roman" w:hAnsi="Times New Roman" w:cs="Times New Roman"/>
          <w:sz w:val="24"/>
          <w:szCs w:val="24"/>
        </w:rPr>
        <w:t xml:space="preserve"> </w:t>
      </w:r>
      <w:r w:rsidR="00695021" w:rsidRPr="00BD1020">
        <w:rPr>
          <w:rFonts w:ascii="Times New Roman" w:hAnsi="Times New Roman" w:cs="Times New Roman"/>
          <w:sz w:val="24"/>
          <w:szCs w:val="24"/>
        </w:rPr>
        <w:t xml:space="preserve">Abbreviations: RD, range difference; BGV, between group variance; eACI, extended absolute concentration index; </w:t>
      </w:r>
      <w:r w:rsidR="00695021" w:rsidRPr="00BD1020">
        <w:rPr>
          <w:rFonts w:ascii="Times New Roman" w:hAnsi="Times New Roman" w:cs="Times New Roman"/>
          <w:sz w:val="24"/>
          <w:szCs w:val="24"/>
        </w:rPr>
        <w:lastRenderedPageBreak/>
        <w:t>SII, slope index of inequality; RR, range ratio; IDisp, index of disparity; MLD, mean log deviation; T, Theil index; eRCI, extended relative concentration index; RII, relative index of inequality; KMI, Kunst-Mackenbach relative index.</w:t>
      </w:r>
    </w:p>
    <w:p w:rsidR="00BD1020" w:rsidRPr="00BD1020" w:rsidRDefault="00BD102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BD1020">
        <w:rPr>
          <w:rFonts w:ascii="Times New Roman" w:hAnsi="Times New Roman" w:cs="Times New Roman"/>
          <w:sz w:val="24"/>
          <w:szCs w:val="24"/>
        </w:rPr>
        <w:br w:type="page"/>
      </w:r>
    </w:p>
    <w:p w:rsidR="00BD1020" w:rsidRPr="00BD1020" w:rsidRDefault="00BD1020" w:rsidP="00BD1020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102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D1020" w:rsidRPr="00BD1020" w:rsidRDefault="00BD1020" w:rsidP="00BD1020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020">
        <w:rPr>
          <w:rFonts w:ascii="Times New Roman" w:hAnsi="Times New Roman" w:cs="Times New Roman"/>
          <w:sz w:val="24"/>
          <w:szCs w:val="24"/>
        </w:rPr>
        <w:fldChar w:fldCharType="begin"/>
      </w:r>
      <w:r w:rsidRPr="00BD102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D1020">
        <w:rPr>
          <w:rFonts w:ascii="Times New Roman" w:hAnsi="Times New Roman" w:cs="Times New Roman"/>
          <w:sz w:val="24"/>
          <w:szCs w:val="24"/>
        </w:rPr>
        <w:fldChar w:fldCharType="separate"/>
      </w:r>
      <w:r w:rsidRPr="00BD1020">
        <w:rPr>
          <w:rFonts w:ascii="Times New Roman" w:hAnsi="Times New Roman" w:cs="Times New Roman"/>
          <w:sz w:val="24"/>
          <w:szCs w:val="24"/>
        </w:rPr>
        <w:t xml:space="preserve">1.OECD, Eurostat. Avoidable mortality: OECD/Eurostat lists of preventable and treatable causes of death [cited 2022 January 5]. Available from: </w:t>
      </w:r>
      <w:hyperlink r:id="rId7" w:history="1">
        <w:r w:rsidRPr="00BD1020">
          <w:rPr>
            <w:rStyle w:val="a5"/>
            <w:rFonts w:ascii="Times New Roman" w:hAnsi="Times New Roman" w:cs="Times New Roman"/>
            <w:sz w:val="24"/>
            <w:szCs w:val="24"/>
          </w:rPr>
          <w:t>https://www.oecd.org/health/health-systems/Avoidable-mortality-2019-Joint-OECD-Eurostat-List-preventable-treatable-causes-of-death.pdf</w:t>
        </w:r>
      </w:hyperlink>
      <w:r w:rsidRPr="00BD1020">
        <w:rPr>
          <w:rFonts w:ascii="Times New Roman" w:hAnsi="Times New Roman" w:cs="Times New Roman"/>
          <w:sz w:val="24"/>
          <w:szCs w:val="24"/>
        </w:rPr>
        <w:t>.</w:t>
      </w:r>
    </w:p>
    <w:p w:rsidR="00A819E3" w:rsidRPr="00BD1020" w:rsidRDefault="00BD1020" w:rsidP="00BD1020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02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819E3" w:rsidRPr="00BD1020" w:rsidSect="00A07D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0E" w:rsidRDefault="00235E0E" w:rsidP="005D5493">
      <w:pPr>
        <w:spacing w:after="0" w:line="240" w:lineRule="auto"/>
      </w:pPr>
      <w:r>
        <w:separator/>
      </w:r>
    </w:p>
  </w:endnote>
  <w:endnote w:type="continuationSeparator" w:id="0">
    <w:p w:rsidR="00235E0E" w:rsidRDefault="00235E0E" w:rsidP="005D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7003"/>
      <w:docPartObj>
        <w:docPartGallery w:val="Page Numbers (Bottom of Page)"/>
        <w:docPartUnique/>
      </w:docPartObj>
    </w:sdtPr>
    <w:sdtEndPr/>
    <w:sdtContent>
      <w:p w:rsidR="00382865" w:rsidRDefault="003828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65" w:rsidRPr="00AE2665">
          <w:rPr>
            <w:noProof/>
            <w:lang w:val="ko-KR"/>
          </w:rPr>
          <w:t>7</w:t>
        </w:r>
        <w:r>
          <w:fldChar w:fldCharType="end"/>
        </w:r>
      </w:p>
    </w:sdtContent>
  </w:sdt>
  <w:p w:rsidR="00382865" w:rsidRDefault="003828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0E" w:rsidRDefault="00235E0E" w:rsidP="005D5493">
      <w:pPr>
        <w:spacing w:after="0" w:line="240" w:lineRule="auto"/>
      </w:pPr>
      <w:r>
        <w:separator/>
      </w:r>
    </w:p>
  </w:footnote>
  <w:footnote w:type="continuationSeparator" w:id="0">
    <w:p w:rsidR="00235E0E" w:rsidRDefault="00235E0E" w:rsidP="005D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autoHyphenation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DQzNTU1NjQ1sTBS0lEKTi0uzszPAykwMqsFAFU+Gj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and Heal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ws0zwdp020s7e0tf2xwsxnz2f2etaz00xt&quot;&gt;My EndNote Library&lt;record-ids&gt;&lt;item&gt;1544&lt;/item&gt;&lt;/record-ids&gt;&lt;/item&gt;&lt;/Libraries&gt;"/>
  </w:docVars>
  <w:rsids>
    <w:rsidRoot w:val="00F6281F"/>
    <w:rsid w:val="00004D08"/>
    <w:rsid w:val="000074C6"/>
    <w:rsid w:val="00012CE6"/>
    <w:rsid w:val="00013E4B"/>
    <w:rsid w:val="00023D05"/>
    <w:rsid w:val="0003303B"/>
    <w:rsid w:val="00041003"/>
    <w:rsid w:val="00046895"/>
    <w:rsid w:val="0004708A"/>
    <w:rsid w:val="00057ACE"/>
    <w:rsid w:val="000744B4"/>
    <w:rsid w:val="00081176"/>
    <w:rsid w:val="0009575E"/>
    <w:rsid w:val="001030C4"/>
    <w:rsid w:val="00104618"/>
    <w:rsid w:val="00107483"/>
    <w:rsid w:val="0010784B"/>
    <w:rsid w:val="00107D10"/>
    <w:rsid w:val="00121174"/>
    <w:rsid w:val="001248AB"/>
    <w:rsid w:val="0013053E"/>
    <w:rsid w:val="00135300"/>
    <w:rsid w:val="00147FC9"/>
    <w:rsid w:val="0016711C"/>
    <w:rsid w:val="001829EE"/>
    <w:rsid w:val="0018712C"/>
    <w:rsid w:val="001E6A16"/>
    <w:rsid w:val="00235E0E"/>
    <w:rsid w:val="00245A4A"/>
    <w:rsid w:val="0025196A"/>
    <w:rsid w:val="002573AC"/>
    <w:rsid w:val="00261580"/>
    <w:rsid w:val="002630F5"/>
    <w:rsid w:val="00264133"/>
    <w:rsid w:val="00265F15"/>
    <w:rsid w:val="00292524"/>
    <w:rsid w:val="00297E0C"/>
    <w:rsid w:val="002B4AF8"/>
    <w:rsid w:val="002B4B1C"/>
    <w:rsid w:val="002F20B0"/>
    <w:rsid w:val="002F27C9"/>
    <w:rsid w:val="002F3ED4"/>
    <w:rsid w:val="00332896"/>
    <w:rsid w:val="00337145"/>
    <w:rsid w:val="00341811"/>
    <w:rsid w:val="003421BE"/>
    <w:rsid w:val="00352F21"/>
    <w:rsid w:val="0035797C"/>
    <w:rsid w:val="00382865"/>
    <w:rsid w:val="003A0610"/>
    <w:rsid w:val="003A35E1"/>
    <w:rsid w:val="003C1E49"/>
    <w:rsid w:val="003E54A4"/>
    <w:rsid w:val="003F5C23"/>
    <w:rsid w:val="0041627C"/>
    <w:rsid w:val="00453B2F"/>
    <w:rsid w:val="00460CE6"/>
    <w:rsid w:val="004725D8"/>
    <w:rsid w:val="004757E6"/>
    <w:rsid w:val="004A3E13"/>
    <w:rsid w:val="00525C67"/>
    <w:rsid w:val="00544DCD"/>
    <w:rsid w:val="00596710"/>
    <w:rsid w:val="005A530B"/>
    <w:rsid w:val="005B15D6"/>
    <w:rsid w:val="005C01D9"/>
    <w:rsid w:val="005D5493"/>
    <w:rsid w:val="0066104F"/>
    <w:rsid w:val="006664A3"/>
    <w:rsid w:val="00695021"/>
    <w:rsid w:val="006A39D8"/>
    <w:rsid w:val="006C2F8F"/>
    <w:rsid w:val="006C42F7"/>
    <w:rsid w:val="006D40E5"/>
    <w:rsid w:val="006E322E"/>
    <w:rsid w:val="00700DB8"/>
    <w:rsid w:val="00706A85"/>
    <w:rsid w:val="00713321"/>
    <w:rsid w:val="007274DE"/>
    <w:rsid w:val="00741EA5"/>
    <w:rsid w:val="007427F4"/>
    <w:rsid w:val="00751F0B"/>
    <w:rsid w:val="00765DEC"/>
    <w:rsid w:val="00771D53"/>
    <w:rsid w:val="00792742"/>
    <w:rsid w:val="00797E37"/>
    <w:rsid w:val="007C78C4"/>
    <w:rsid w:val="008240E6"/>
    <w:rsid w:val="0084569A"/>
    <w:rsid w:val="0085187B"/>
    <w:rsid w:val="00851DC0"/>
    <w:rsid w:val="00874838"/>
    <w:rsid w:val="00882223"/>
    <w:rsid w:val="00882F0C"/>
    <w:rsid w:val="00883131"/>
    <w:rsid w:val="00883BA5"/>
    <w:rsid w:val="008876E9"/>
    <w:rsid w:val="008954A7"/>
    <w:rsid w:val="00896EDB"/>
    <w:rsid w:val="008D4A97"/>
    <w:rsid w:val="008E66BB"/>
    <w:rsid w:val="008E7906"/>
    <w:rsid w:val="00905D4D"/>
    <w:rsid w:val="00910C98"/>
    <w:rsid w:val="00917D6E"/>
    <w:rsid w:val="0092199C"/>
    <w:rsid w:val="009313B5"/>
    <w:rsid w:val="00955D2B"/>
    <w:rsid w:val="009612A9"/>
    <w:rsid w:val="00966396"/>
    <w:rsid w:val="0097452C"/>
    <w:rsid w:val="009760D4"/>
    <w:rsid w:val="009810BD"/>
    <w:rsid w:val="00991E1A"/>
    <w:rsid w:val="009979AC"/>
    <w:rsid w:val="009A46D1"/>
    <w:rsid w:val="009D509B"/>
    <w:rsid w:val="009E5704"/>
    <w:rsid w:val="00A07D42"/>
    <w:rsid w:val="00A1488B"/>
    <w:rsid w:val="00A21FA6"/>
    <w:rsid w:val="00A47CE0"/>
    <w:rsid w:val="00A55733"/>
    <w:rsid w:val="00A605D8"/>
    <w:rsid w:val="00A80711"/>
    <w:rsid w:val="00A819E3"/>
    <w:rsid w:val="00A94F2C"/>
    <w:rsid w:val="00AA2B80"/>
    <w:rsid w:val="00AA681D"/>
    <w:rsid w:val="00AA7E54"/>
    <w:rsid w:val="00AD412E"/>
    <w:rsid w:val="00AE2665"/>
    <w:rsid w:val="00AE4B8B"/>
    <w:rsid w:val="00B01A53"/>
    <w:rsid w:val="00B06683"/>
    <w:rsid w:val="00B172DC"/>
    <w:rsid w:val="00B22A58"/>
    <w:rsid w:val="00B43299"/>
    <w:rsid w:val="00B5034C"/>
    <w:rsid w:val="00B557CF"/>
    <w:rsid w:val="00B560E1"/>
    <w:rsid w:val="00B60A78"/>
    <w:rsid w:val="00B645A5"/>
    <w:rsid w:val="00BA64B0"/>
    <w:rsid w:val="00BB2B29"/>
    <w:rsid w:val="00BB2E2F"/>
    <w:rsid w:val="00BB674A"/>
    <w:rsid w:val="00BC478C"/>
    <w:rsid w:val="00BD1020"/>
    <w:rsid w:val="00BE42B9"/>
    <w:rsid w:val="00BF17AC"/>
    <w:rsid w:val="00BF612F"/>
    <w:rsid w:val="00C209E7"/>
    <w:rsid w:val="00C24DB9"/>
    <w:rsid w:val="00C3196A"/>
    <w:rsid w:val="00C758C5"/>
    <w:rsid w:val="00CA29A9"/>
    <w:rsid w:val="00CB1FD0"/>
    <w:rsid w:val="00CB3FFA"/>
    <w:rsid w:val="00CE4A47"/>
    <w:rsid w:val="00CF7637"/>
    <w:rsid w:val="00D012E5"/>
    <w:rsid w:val="00D013D9"/>
    <w:rsid w:val="00D02C9F"/>
    <w:rsid w:val="00D11FA3"/>
    <w:rsid w:val="00D1207E"/>
    <w:rsid w:val="00D30C2D"/>
    <w:rsid w:val="00D5113D"/>
    <w:rsid w:val="00D57857"/>
    <w:rsid w:val="00D61DFF"/>
    <w:rsid w:val="00D806E7"/>
    <w:rsid w:val="00D84802"/>
    <w:rsid w:val="00D86C1E"/>
    <w:rsid w:val="00D9070C"/>
    <w:rsid w:val="00DA5D98"/>
    <w:rsid w:val="00DB0864"/>
    <w:rsid w:val="00DD37C3"/>
    <w:rsid w:val="00DE5526"/>
    <w:rsid w:val="00DF4ED7"/>
    <w:rsid w:val="00E06E64"/>
    <w:rsid w:val="00E10556"/>
    <w:rsid w:val="00E40A6D"/>
    <w:rsid w:val="00E411EB"/>
    <w:rsid w:val="00E42BD5"/>
    <w:rsid w:val="00E55E49"/>
    <w:rsid w:val="00E66EB4"/>
    <w:rsid w:val="00E72DF3"/>
    <w:rsid w:val="00E74B5E"/>
    <w:rsid w:val="00E975E5"/>
    <w:rsid w:val="00EA2607"/>
    <w:rsid w:val="00EC2C46"/>
    <w:rsid w:val="00ED7B37"/>
    <w:rsid w:val="00EF55F4"/>
    <w:rsid w:val="00F12FAF"/>
    <w:rsid w:val="00F146E6"/>
    <w:rsid w:val="00F16E02"/>
    <w:rsid w:val="00F6281F"/>
    <w:rsid w:val="00F8144E"/>
    <w:rsid w:val="00F96414"/>
    <w:rsid w:val="00FC170B"/>
    <w:rsid w:val="00FC2AD2"/>
    <w:rsid w:val="00FC65B2"/>
    <w:rsid w:val="00FD4EBB"/>
    <w:rsid w:val="00FD5A6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B00C8-658E-4F34-A68C-5B55073F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4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5493"/>
  </w:style>
  <w:style w:type="paragraph" w:styleId="a4">
    <w:name w:val="footer"/>
    <w:basedOn w:val="a"/>
    <w:link w:val="Char0"/>
    <w:uiPriority w:val="99"/>
    <w:unhideWhenUsed/>
    <w:rsid w:val="005D54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5493"/>
  </w:style>
  <w:style w:type="character" w:styleId="a5">
    <w:name w:val="Hyperlink"/>
    <w:basedOn w:val="a0"/>
    <w:uiPriority w:val="99"/>
    <w:unhideWhenUsed/>
    <w:rsid w:val="001829E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29EE"/>
    <w:rPr>
      <w:color w:val="954F72"/>
      <w:u w:val="single"/>
    </w:rPr>
  </w:style>
  <w:style w:type="paragraph" w:customStyle="1" w:styleId="msonormal0">
    <w:name w:val="msonormal"/>
    <w:basedOn w:val="a"/>
    <w:rsid w:val="001829E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1829E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6">
    <w:name w:val="xl66"/>
    <w:basedOn w:val="a"/>
    <w:rsid w:val="001829E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a7">
    <w:name w:val="caption"/>
    <w:basedOn w:val="a"/>
    <w:next w:val="a"/>
    <w:link w:val="Char1"/>
    <w:uiPriority w:val="35"/>
    <w:unhideWhenUsed/>
    <w:qFormat/>
    <w:rsid w:val="005B15D6"/>
    <w:rPr>
      <w:b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BD1020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Char1">
    <w:name w:val="캡션 Char"/>
    <w:basedOn w:val="a0"/>
    <w:link w:val="a7"/>
    <w:uiPriority w:val="35"/>
    <w:rsid w:val="00BD1020"/>
    <w:rPr>
      <w:b/>
      <w:bCs/>
      <w:szCs w:val="20"/>
    </w:rPr>
  </w:style>
  <w:style w:type="character" w:customStyle="1" w:styleId="EndNoteBibliographyTitleChar">
    <w:name w:val="EndNote Bibliography Title Char"/>
    <w:basedOn w:val="Char1"/>
    <w:link w:val="EndNoteBibliographyTitle"/>
    <w:rsid w:val="00BD1020"/>
    <w:rPr>
      <w:rFonts w:ascii="맑은 고딕" w:eastAsia="맑은 고딕" w:hAnsi="맑은 고딕"/>
      <w:b w:val="0"/>
      <w:bCs w:val="0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BD1020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1"/>
    <w:link w:val="EndNoteBibliography"/>
    <w:rsid w:val="00BD1020"/>
    <w:rPr>
      <w:rFonts w:ascii="맑은 고딕" w:eastAsia="맑은 고딕" w:hAnsi="맑은 고딕"/>
      <w:b w:val="0"/>
      <w:bCs w:val="0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ecd.org/health/health-systems/Avoidable-mortality-2019-Joint-OECD-Eurostat-List-preventable-treatable-causes-of-deat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196</cp:revision>
  <dcterms:created xsi:type="dcterms:W3CDTF">2022-03-28T00:40:00Z</dcterms:created>
  <dcterms:modified xsi:type="dcterms:W3CDTF">2022-08-04T01:17:00Z</dcterms:modified>
</cp:coreProperties>
</file>