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 Bold" w:hAnsi="Times New Roman Bold" w:cs="Times New Roman Bold"/>
          <w:b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</w:rPr>
        <w:drawing>
          <wp:inline distT="0" distB="0" distL="114300" distR="114300">
            <wp:extent cx="4558665" cy="6089650"/>
            <wp:effectExtent l="0" t="0" r="13335" b="6350"/>
            <wp:docPr id="1" name="Picture 1" descr="Supplementary Figure-1-EPB_on_stroke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pplementary Figure-1-EPB_on_stroke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866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Supplementary Material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EPB on stroke</w:t>
      </w:r>
      <w:r>
        <w:rPr>
          <w:sz w:val="20"/>
          <w:szCs w:val="20"/>
        </w:rPr>
        <w:t>. Using IVW method, leave-one-out analysis</w:t>
      </w:r>
      <w:r>
        <w:rPr>
          <w:rFonts w:hint="default" w:ascii="Times New Roman Bold" w:hAnsi="Times New Roman Bold" w:cs="Times New Roman Bold"/>
          <w:b w:val="0"/>
          <w:bCs w:val="0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</w:rPr>
        <w:t xml:space="preserve">showed </w:t>
      </w:r>
      <w:r>
        <w:rPr>
          <w:rFonts w:hint="default"/>
          <w:b w:val="0"/>
          <w:bCs w:val="0"/>
          <w:sz w:val="20"/>
          <w:szCs w:val="20"/>
        </w:rPr>
        <w:t>the causal effec</w:t>
      </w:r>
      <w:r>
        <w:rPr>
          <w:rFonts w:hint="default"/>
          <w:sz w:val="20"/>
          <w:szCs w:val="20"/>
        </w:rPr>
        <w:t>t of EPB on all cause stroke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A</w:t>
      </w:r>
      <w:r>
        <w:rPr>
          <w:rFonts w:hint="default"/>
          <w:sz w:val="20"/>
          <w:szCs w:val="20"/>
        </w:rPr>
        <w:t>),</w:t>
      </w:r>
      <w:r>
        <w:rPr>
          <w:sz w:val="20"/>
          <w:szCs w:val="20"/>
        </w:rPr>
        <w:t xml:space="preserve"> AIS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rFonts w:hint="default"/>
          <w:sz w:val="20"/>
          <w:szCs w:val="20"/>
        </w:rPr>
        <w:t>), CE</w:t>
      </w:r>
      <w:r>
        <w:rPr>
          <w:sz w:val="20"/>
          <w:szCs w:val="20"/>
        </w:rPr>
        <w:t>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C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LAS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D</w:t>
      </w:r>
      <w:r>
        <w:rPr>
          <w:rFonts w:hint="default"/>
          <w:sz w:val="20"/>
          <w:szCs w:val="20"/>
        </w:rPr>
        <w:t xml:space="preserve">), </w:t>
      </w:r>
      <w:r>
        <w:rPr>
          <w:sz w:val="20"/>
          <w:szCs w:val="20"/>
        </w:rPr>
        <w:t>SVS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E</w:t>
      </w:r>
      <w:r>
        <w:rPr>
          <w:rFonts w:hint="default"/>
          <w:sz w:val="20"/>
          <w:szCs w:val="20"/>
        </w:rPr>
        <w:t xml:space="preserve">), and </w:t>
      </w:r>
      <w:r>
        <w:rPr>
          <w:sz w:val="20"/>
          <w:szCs w:val="20"/>
        </w:rPr>
        <w:t>ICH (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</w:t>
      </w:r>
      <w:r>
        <w:rPr>
          <w:rFonts w:hint="default"/>
          <w:sz w:val="20"/>
          <w:szCs w:val="20"/>
        </w:rPr>
        <w:t>) individually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>Each SNP was iteratively excluded in MR analysis. EPB, early preterm birth; LAS, large artery stroke; CES, cardioembolic stroke; SVS, small vessel stroke; AIS, any ischemic stroke; ICH, intracerebral hemorrhage; MR, Mendelian randomization</w:t>
      </w:r>
      <w:r>
        <w:rPr>
          <w:sz w:val="20"/>
          <w:szCs w:val="20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2F9B3B87"/>
    <w:rsid w:val="6E99061C"/>
    <w:rsid w:val="745E2C8D"/>
    <w:rsid w:val="7BFFC137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4624</Words>
  <Characters>28875</Characters>
  <Lines>0</Lines>
  <Paragraphs>0</Paragraphs>
  <ScaleCrop>false</ScaleCrop>
  <LinksUpToDate>false</LinksUpToDate>
  <CharactersWithSpaces>33001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