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</w:rPr>
        <w:drawing>
          <wp:inline distT="0" distB="0" distL="114300" distR="114300">
            <wp:extent cx="5269865" cy="5315585"/>
            <wp:effectExtent l="0" t="0" r="13335" b="18415"/>
            <wp:docPr id="11" name="Picture 11" descr="Supplementary Figure-7-PoB_on_mediators_smd_or_forest_1_to_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upplementary Figure-7-PoB_on_mediators_smd_or_forest_1_to_man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Supplementary Material 1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hint="default" w:ascii="Times New Roman Bold" w:hAnsi="Times New Roman Bold" w:cs="Times New Roman Bold"/>
          <w:b/>
          <w:sz w:val="20"/>
          <w:szCs w:val="20"/>
        </w:rPr>
        <w:t xml:space="preserve">. MR analysis determine the causal effects of PoB on mediators.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Effect sizes with 95% confidence intervals, number of SNP and P value were presented. </w:t>
      </w:r>
      <w:r>
        <w:rPr>
          <w:rFonts w:hint="default" w:ascii="Times New Roman Bold" w:hAnsi="Times New Roman Bold" w:cs="Times New Roman Bold"/>
          <w:b/>
          <w:bCs w:val="0"/>
          <w:sz w:val="20"/>
          <w:szCs w:val="20"/>
        </w:rPr>
        <w:t>A</w:t>
      </w:r>
      <w:r>
        <w:rPr>
          <w:rFonts w:hint="default" w:cs="Times New Roman"/>
          <w:b w:val="0"/>
          <w:bCs/>
          <w:sz w:val="20"/>
          <w:szCs w:val="20"/>
        </w:rPr>
        <w:t xml:space="preserve"> showed the effect sizes of g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enetically predicted </w:t>
      </w:r>
      <w:r>
        <w:rPr>
          <w:rFonts w:hint="default" w:cs="Times New Roman"/>
          <w:b w:val="0"/>
          <w:bCs/>
          <w:sz w:val="20"/>
          <w:szCs w:val="20"/>
        </w:rPr>
        <w:t>PoB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hint="default" w:cs="Times New Roman"/>
          <w:b w:val="0"/>
          <w:bCs/>
          <w:sz w:val="20"/>
          <w:szCs w:val="20"/>
        </w:rPr>
        <w:t>on continuous outcomes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in offspring. </w:t>
      </w:r>
      <w:r>
        <w:rPr>
          <w:rFonts w:hint="default" w:ascii="Times New Roman Bold" w:hAnsi="Times New Roman Bold" w:cs="Times New Roman Bold"/>
          <w:b/>
          <w:bCs w:val="0"/>
          <w:sz w:val="20"/>
          <w:szCs w:val="20"/>
        </w:rPr>
        <w:t>B</w:t>
      </w:r>
      <w:r>
        <w:rPr>
          <w:rFonts w:hint="default" w:cs="Times New Roman"/>
          <w:b w:val="0"/>
          <w:bCs/>
          <w:sz w:val="20"/>
          <w:szCs w:val="20"/>
        </w:rPr>
        <w:t xml:space="preserve"> showed the causal estimates of g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enetically predicted </w:t>
      </w:r>
      <w:r>
        <w:rPr>
          <w:rFonts w:hint="default" w:cs="Times New Roman"/>
          <w:b w:val="0"/>
          <w:bCs/>
          <w:sz w:val="20"/>
          <w:szCs w:val="20"/>
        </w:rPr>
        <w:t>PoB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hint="default" w:cs="Times New Roman"/>
          <w:b w:val="0"/>
          <w:bCs/>
          <w:sz w:val="20"/>
          <w:szCs w:val="20"/>
        </w:rPr>
        <w:t>on binary outcomes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in offspring. MR, Mendelian randomization; SNPs, Single nucleotide polymorphisms; FEV1, forced expiratory volume in the first second; FEV1/FVC, forced expiratory volume in the first second/forced vital capacity; </w:t>
      </w:r>
      <w:r>
        <w:rPr>
          <w:rFonts w:hint="default"/>
          <w:sz w:val="20"/>
          <w:szCs w:val="20"/>
        </w:rPr>
        <w:t xml:space="preserve">PoB, post-term birth;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CRP, C-reactive protein; BMI, body mass index; SBP, systolic blood pressure; DBP, diastolic blood pressure; T2D, type 2 diabetes; AF, atrial fibrillation.</w:t>
      </w:r>
    </w:p>
    <w:p>
      <w:pPr>
        <w:spacing w:line="48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6E99061C"/>
    <w:rsid w:val="6F3F068A"/>
    <w:rsid w:val="6FDF47CF"/>
    <w:rsid w:val="745E2C8D"/>
    <w:rsid w:val="7BFFC137"/>
    <w:rsid w:val="7C5521AE"/>
    <w:rsid w:val="7DDC8A1C"/>
    <w:rsid w:val="7FBFA29E"/>
    <w:rsid w:val="7FBFAE9F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630</Characters>
  <Lines>0</Lines>
  <Paragraphs>0</Paragraphs>
  <ScaleCrop>false</ScaleCrop>
  <LinksUpToDate>false</LinksUpToDate>
  <CharactersWithSpaces>734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